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05276B" w:rsidRDefault="00004062" w:rsidP="0005276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276B">
        <w:rPr>
          <w:rFonts w:ascii="Times New Roman" w:eastAsia="Times New Roman" w:hAnsi="Times New Roman" w:cs="Times New Roman"/>
          <w:noProof/>
          <w:kern w:val="1"/>
          <w:sz w:val="24"/>
          <w:szCs w:val="24"/>
          <w:lang w:val="uk-UA" w:eastAsia="uk-UA"/>
        </w:rPr>
        <w:drawing>
          <wp:inline distT="0" distB="0" distL="0" distR="0" wp14:anchorId="64640865" wp14:editId="6CA30173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05276B" w:rsidRDefault="00004062" w:rsidP="0005276B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75A33" w:rsidRPr="00F84AC8" w:rsidRDefault="00475A33" w:rsidP="00475A33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F84AC8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475A33" w:rsidRPr="00F84AC8" w:rsidRDefault="00475A33" w:rsidP="00475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475A33" w:rsidRPr="006C6A5F" w:rsidRDefault="006C6A5F" w:rsidP="006C6A5F">
      <w:pPr>
        <w:spacing w:after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C6A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04 липня</w:t>
      </w:r>
      <w:r w:rsidR="00475A33" w:rsidRPr="006C6A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 року </w:t>
      </w:r>
      <w:r w:rsidR="00475A33" w:rsidRPr="006C6A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475A33" w:rsidRPr="006C6A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475A33" w:rsidRPr="006C6A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475A33" w:rsidRPr="006C6A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475A33" w:rsidRPr="006C6A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475A33" w:rsidRPr="006C6A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475A33" w:rsidRPr="006C6A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475A33" w:rsidRPr="006C6A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           м. Київ </w:t>
      </w:r>
    </w:p>
    <w:p w:rsidR="00475A33" w:rsidRPr="006C6A5F" w:rsidRDefault="00475A33" w:rsidP="006C6A5F">
      <w:pPr>
        <w:spacing w:after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75A33" w:rsidRPr="006C6A5F" w:rsidRDefault="00475A33" w:rsidP="006C6A5F">
      <w:pPr>
        <w:spacing w:after="0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6C6A5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6C6A5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6C6A5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 № </w:t>
      </w:r>
      <w:r w:rsidR="00860975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35/дп-25</w:t>
      </w:r>
    </w:p>
    <w:p w:rsidR="00475A33" w:rsidRPr="006C6A5F" w:rsidRDefault="00475A33" w:rsidP="006C6A5F">
      <w:pPr>
        <w:spacing w:after="0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8120AE" w:rsidRPr="006C6A5F" w:rsidRDefault="008120AE" w:rsidP="006C6A5F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6C6A5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Вища кваліфікаційна комісія суддів України у складі</w:t>
      </w:r>
      <w:r w:rsidR="00335ABA" w:rsidRPr="006C6A5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колегії</w:t>
      </w:r>
      <w:r w:rsidRPr="006C6A5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:</w:t>
      </w:r>
    </w:p>
    <w:p w:rsidR="00F36D0E" w:rsidRPr="006C6A5F" w:rsidRDefault="00F36D0E" w:rsidP="006C6A5F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500087" w:rsidRPr="006C6A5F" w:rsidRDefault="00500087" w:rsidP="006C6A5F">
      <w:pPr>
        <w:shd w:val="clear" w:color="auto" w:fill="FFFFFF"/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6C6A5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головуючого – </w:t>
      </w:r>
      <w:r w:rsidR="005B4ADE" w:rsidRPr="006C6A5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Олексія ОМЕЛЬЯНА</w:t>
      </w:r>
      <w:r w:rsidR="00CA5BE3" w:rsidRPr="006C6A5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, </w:t>
      </w:r>
    </w:p>
    <w:p w:rsidR="00F36D0E" w:rsidRPr="006C6A5F" w:rsidRDefault="00F36D0E" w:rsidP="006C6A5F">
      <w:pPr>
        <w:shd w:val="clear" w:color="auto" w:fill="FFFFFF"/>
        <w:tabs>
          <w:tab w:val="left" w:pos="3969"/>
        </w:tabs>
        <w:suppressAutoHyphens/>
        <w:spacing w:after="0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500087" w:rsidRPr="006C6A5F" w:rsidRDefault="00822A68" w:rsidP="006C6A5F">
      <w:pPr>
        <w:shd w:val="clear" w:color="auto" w:fill="FFFFFF"/>
        <w:tabs>
          <w:tab w:val="left" w:pos="3969"/>
        </w:tabs>
        <w:suppressAutoHyphens/>
        <w:spacing w:after="0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6C6A5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членів Комісії: </w:t>
      </w:r>
      <w:r w:rsidR="005B4ADE" w:rsidRPr="006C6A5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Ярослава ДУХА, Володимира ЛУГАНСЬКОГО (доповідач),</w:t>
      </w:r>
    </w:p>
    <w:p w:rsidR="008120AE" w:rsidRPr="006C6A5F" w:rsidRDefault="008120AE" w:rsidP="006C6A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F1077" w:rsidRPr="006C6A5F" w:rsidRDefault="000F1077" w:rsidP="006C6A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C6A5F">
        <w:rPr>
          <w:rFonts w:ascii="Times New Roman" w:hAnsi="Times New Roman" w:cs="Times New Roman"/>
          <w:sz w:val="26"/>
          <w:szCs w:val="26"/>
          <w:lang w:val="uk-UA"/>
        </w:rPr>
        <w:t xml:space="preserve">розглянувши </w:t>
      </w:r>
      <w:r w:rsidR="00763671" w:rsidRPr="006C6A5F">
        <w:rPr>
          <w:rFonts w:ascii="Times New Roman" w:hAnsi="Times New Roman" w:cs="Times New Roman"/>
          <w:bCs/>
          <w:sz w:val="26"/>
          <w:szCs w:val="26"/>
          <w:lang w:val="uk-UA"/>
        </w:rPr>
        <w:t>повідомлення Управління Служби безпеки України в Херсонській області щодо інформації, яка може свідчити про недостовірність (у тому числі неповноту) тверджень, відомостей, указаних суддею Херсонського окружного адміністративного суду Хом’яковою Вікторією Валеріївною в деклараціях доброчесності судді та деклараціях родинних зв’язків судді</w:t>
      </w:r>
      <w:r w:rsidRPr="006C6A5F">
        <w:rPr>
          <w:rFonts w:ascii="Times New Roman" w:hAnsi="Times New Roman" w:cs="Times New Roman"/>
          <w:sz w:val="26"/>
          <w:szCs w:val="26"/>
          <w:lang w:val="uk-UA"/>
        </w:rPr>
        <w:t>,</w:t>
      </w:r>
    </w:p>
    <w:p w:rsidR="002F0CBF" w:rsidRPr="006C6A5F" w:rsidRDefault="002F0CBF" w:rsidP="006C6A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120AE" w:rsidRPr="006C6A5F" w:rsidRDefault="008120AE" w:rsidP="006C6A5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C6A5F">
        <w:rPr>
          <w:rFonts w:ascii="Times New Roman" w:hAnsi="Times New Roman" w:cs="Times New Roman"/>
          <w:bCs/>
          <w:sz w:val="26"/>
          <w:szCs w:val="26"/>
          <w:lang w:val="uk-UA"/>
        </w:rPr>
        <w:t>встановила:</w:t>
      </w:r>
    </w:p>
    <w:p w:rsidR="008120AE" w:rsidRPr="006C6A5F" w:rsidRDefault="008120AE" w:rsidP="006C6A5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B448E" w:rsidRPr="006C6A5F" w:rsidRDefault="009B448E" w:rsidP="006C6A5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C6A5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До Вищої кваліфікаційної комісії суддів України </w:t>
      </w:r>
      <w:r w:rsidR="005B4ADE" w:rsidRPr="006C6A5F">
        <w:rPr>
          <w:rFonts w:ascii="Times New Roman" w:hAnsi="Times New Roman" w:cs="Times New Roman"/>
          <w:bCs/>
          <w:sz w:val="26"/>
          <w:szCs w:val="26"/>
          <w:lang w:val="uk-UA"/>
        </w:rPr>
        <w:t>03 червня 2019</w:t>
      </w:r>
      <w:r w:rsidRPr="006C6A5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року надійшло повідомлення</w:t>
      </w:r>
      <w:r w:rsidR="00C302F0" w:rsidRPr="006C6A5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5B4ADE" w:rsidRPr="006C6A5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Управління служби безпеки України в Херсонській області </w:t>
      </w:r>
      <w:r w:rsidR="002C6994" w:rsidRPr="006C6A5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щодо інформації, </w:t>
      </w:r>
      <w:r w:rsidR="006C6A5F" w:rsidRPr="006C6A5F">
        <w:rPr>
          <w:rFonts w:ascii="Times New Roman" w:hAnsi="Times New Roman" w:cs="Times New Roman"/>
          <w:bCs/>
          <w:sz w:val="26"/>
          <w:szCs w:val="26"/>
          <w:lang w:val="uk-UA"/>
        </w:rPr>
        <w:t>яка може свідчити про недостовірність (у тому числі неповноту) тверджень, відомостей, указаних суддею Херсонського окружного адміністративного суду Хом’яковою В.В. в деклараціях доброчесності судді та деклараціях родинних зв’язків судді (далі – Повідомлення)</w:t>
      </w:r>
      <w:r w:rsidRPr="006C6A5F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514260" w:rsidRPr="006C6A5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У </w:t>
      </w:r>
      <w:r w:rsidR="006C6A5F" w:rsidRPr="006C6A5F">
        <w:rPr>
          <w:rFonts w:ascii="Times New Roman" w:hAnsi="Times New Roman" w:cs="Times New Roman"/>
          <w:bCs/>
          <w:sz w:val="26"/>
          <w:szCs w:val="26"/>
          <w:lang w:val="uk-UA"/>
        </w:rPr>
        <w:t>П</w:t>
      </w:r>
      <w:r w:rsidR="00514260" w:rsidRPr="006C6A5F">
        <w:rPr>
          <w:rFonts w:ascii="Times New Roman" w:hAnsi="Times New Roman" w:cs="Times New Roman"/>
          <w:bCs/>
          <w:sz w:val="26"/>
          <w:szCs w:val="26"/>
          <w:lang w:val="uk-UA"/>
        </w:rPr>
        <w:t>овідомленні</w:t>
      </w:r>
      <w:r w:rsidR="00CE0BD8" w:rsidRPr="006C6A5F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514260" w:rsidRPr="006C6A5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зазначено, </w:t>
      </w:r>
      <w:r w:rsidR="00CE0BD8" w:rsidRPr="006C6A5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що станом на травень 2019 року </w:t>
      </w:r>
      <w:r w:rsidR="00514260" w:rsidRPr="006C6A5F">
        <w:rPr>
          <w:rFonts w:ascii="Times New Roman" w:hAnsi="Times New Roman" w:cs="Times New Roman"/>
          <w:bCs/>
          <w:sz w:val="26"/>
          <w:szCs w:val="26"/>
          <w:lang w:val="uk-UA"/>
        </w:rPr>
        <w:t>декларації доброчесності та роди</w:t>
      </w:r>
      <w:r w:rsidR="00CE0BD8" w:rsidRPr="006C6A5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нних зв’язків судді Хом’якової </w:t>
      </w:r>
      <w:r w:rsidR="007478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В.В. на офіційному </w:t>
      </w:r>
      <w:proofErr w:type="spellStart"/>
      <w:r w:rsidR="007478B6">
        <w:rPr>
          <w:rFonts w:ascii="Times New Roman" w:hAnsi="Times New Roman" w:cs="Times New Roman"/>
          <w:bCs/>
          <w:sz w:val="26"/>
          <w:szCs w:val="26"/>
          <w:lang w:val="uk-UA"/>
        </w:rPr>
        <w:t>веб</w:t>
      </w:r>
      <w:r w:rsidR="00514260" w:rsidRPr="006C6A5F">
        <w:rPr>
          <w:rFonts w:ascii="Times New Roman" w:hAnsi="Times New Roman" w:cs="Times New Roman"/>
          <w:bCs/>
          <w:sz w:val="26"/>
          <w:szCs w:val="26"/>
          <w:lang w:val="uk-UA"/>
        </w:rPr>
        <w:t>сайті</w:t>
      </w:r>
      <w:proofErr w:type="spellEnd"/>
      <w:r w:rsidR="00514260" w:rsidRPr="006C6A5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Вищої кваліфікаційної комісії суддів України відсутні, що суперечить вимогам статей 61, 62 Закону України  «Про судоустрій і статус суддів»</w:t>
      </w:r>
      <w:r w:rsidR="00067A12" w:rsidRPr="006C6A5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(далі – Закон)</w:t>
      </w:r>
      <w:r w:rsidR="00514260" w:rsidRPr="006C6A5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У декларації родинних зв’язків суддя Хом’якова В.В. повинна була зазначити свою сестру, яка займає посаду державної служби. </w:t>
      </w:r>
      <w:r w:rsidR="00F92099" w:rsidRPr="006C6A5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Посилаючись </w:t>
      </w:r>
      <w:r w:rsidR="00620BE1" w:rsidRPr="006C6A5F">
        <w:rPr>
          <w:rFonts w:ascii="Times New Roman" w:hAnsi="Times New Roman" w:cs="Times New Roman"/>
          <w:bCs/>
          <w:sz w:val="26"/>
          <w:szCs w:val="26"/>
          <w:lang w:val="uk-UA"/>
        </w:rPr>
        <w:t>н</w:t>
      </w:r>
      <w:r w:rsidR="00F92099" w:rsidRPr="006C6A5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а частину </w:t>
      </w:r>
      <w:r w:rsidR="00620BE1" w:rsidRPr="006C6A5F">
        <w:rPr>
          <w:rFonts w:ascii="Times New Roman" w:hAnsi="Times New Roman" w:cs="Times New Roman"/>
          <w:bCs/>
          <w:sz w:val="26"/>
          <w:szCs w:val="26"/>
          <w:lang w:val="uk-UA"/>
        </w:rPr>
        <w:t>шосту</w:t>
      </w:r>
      <w:r w:rsidR="00F92099" w:rsidRPr="006C6A5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ст</w:t>
      </w:r>
      <w:r w:rsidR="00620BE1" w:rsidRPr="006C6A5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атті </w:t>
      </w:r>
      <w:r w:rsidR="00F92099" w:rsidRPr="006C6A5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61, частину </w:t>
      </w:r>
      <w:r w:rsidR="00620BE1" w:rsidRPr="006C6A5F">
        <w:rPr>
          <w:rFonts w:ascii="Times New Roman" w:hAnsi="Times New Roman" w:cs="Times New Roman"/>
          <w:bCs/>
          <w:sz w:val="26"/>
          <w:szCs w:val="26"/>
          <w:lang w:val="uk-UA"/>
        </w:rPr>
        <w:t>сьому</w:t>
      </w:r>
      <w:r w:rsidR="00F92099" w:rsidRPr="006C6A5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ст</w:t>
      </w:r>
      <w:r w:rsidR="00620BE1" w:rsidRPr="006C6A5F">
        <w:rPr>
          <w:rFonts w:ascii="Times New Roman" w:hAnsi="Times New Roman" w:cs="Times New Roman"/>
          <w:bCs/>
          <w:sz w:val="26"/>
          <w:szCs w:val="26"/>
          <w:lang w:val="uk-UA"/>
        </w:rPr>
        <w:t>атті</w:t>
      </w:r>
      <w:r w:rsidR="00F92099" w:rsidRPr="006C6A5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62 Закону</w:t>
      </w:r>
      <w:r w:rsidR="007478B6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F92099" w:rsidRPr="006C6A5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зазначає, що неподання, несвоєчасне подання або подання завідомо  недостовірних  (у тому числі неповних)  відомостей </w:t>
      </w:r>
      <w:r w:rsidR="007478B6"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="00F92099" w:rsidRPr="006C6A5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деклараціях родинних зв’язків та доброчесності судді, можуть стати наслідком притягнення  судді Херсонського окружного адм</w:t>
      </w:r>
      <w:r w:rsidR="0074393D" w:rsidRPr="006C6A5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іністративного суду Хом’якової </w:t>
      </w:r>
      <w:r w:rsidR="00F92099" w:rsidRPr="006C6A5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В.В. до дисциплінарної відповідальності. Просить Комісію забезпечити перевірку викладених фактів та ініціювати  перед Вищою радою правосуддя  вирішення  питання  про відкриття  дисциплінарної справи стосовно судді Херсонського окружного </w:t>
      </w:r>
      <w:r w:rsidR="00F92099" w:rsidRPr="006C6A5F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адм</w:t>
      </w:r>
      <w:r w:rsidR="00067A12" w:rsidRPr="006C6A5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іністративного суду Хом’якової </w:t>
      </w:r>
      <w:r w:rsidR="00F92099" w:rsidRPr="006C6A5F">
        <w:rPr>
          <w:rFonts w:ascii="Times New Roman" w:hAnsi="Times New Roman" w:cs="Times New Roman"/>
          <w:bCs/>
          <w:sz w:val="26"/>
          <w:szCs w:val="26"/>
          <w:lang w:val="uk-UA"/>
        </w:rPr>
        <w:t>В.В. у зв’язку з поданням суддею декларацій родинних зв’язків та доброчесності.</w:t>
      </w:r>
    </w:p>
    <w:p w:rsidR="009B448E" w:rsidRPr="006C6A5F" w:rsidRDefault="009B448E" w:rsidP="006C6A5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C6A5F">
        <w:rPr>
          <w:rFonts w:ascii="Times New Roman" w:hAnsi="Times New Roman" w:cs="Times New Roman"/>
          <w:bCs/>
          <w:sz w:val="26"/>
          <w:szCs w:val="26"/>
          <w:lang w:val="uk-UA"/>
        </w:rPr>
        <w:t>Законом України «Про внесення змін до Закону України «Про судоустрій і статус суддів» та деяких законів України щодо діяльності органів суддівського врядування» від 16 жовтня 2019 року № 193-ІХ повноваження членів Вищої кваліфікаційної комісії суддів України припинено.</w:t>
      </w:r>
      <w:r w:rsidR="0044030F" w:rsidRPr="006C6A5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6C6A5F">
        <w:rPr>
          <w:rFonts w:ascii="Times New Roman" w:hAnsi="Times New Roman" w:cs="Times New Roman"/>
          <w:bCs/>
          <w:sz w:val="26"/>
          <w:szCs w:val="26"/>
          <w:lang w:val="uk-UA"/>
        </w:rPr>
        <w:t>Повноважний склад Вищої кваліфікаційної комісії суддів України сформовано 01 червня 2023 року.</w:t>
      </w:r>
      <w:r w:rsidR="0044030F" w:rsidRPr="006C6A5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CE0BD8" w:rsidRPr="006C6A5F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Pr="006C6A5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ідповідно до протоколу повторного розподілу від </w:t>
      </w:r>
      <w:r w:rsidR="005B4ADE" w:rsidRPr="006C6A5F">
        <w:rPr>
          <w:rFonts w:ascii="Times New Roman" w:hAnsi="Times New Roman" w:cs="Times New Roman"/>
          <w:bCs/>
          <w:sz w:val="26"/>
          <w:szCs w:val="26"/>
          <w:lang w:val="uk-UA"/>
        </w:rPr>
        <w:t>17 лютого 2025</w:t>
      </w:r>
      <w:r w:rsidRPr="006C6A5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року </w:t>
      </w:r>
      <w:r w:rsidR="006C6A5F" w:rsidRPr="006C6A5F">
        <w:rPr>
          <w:rFonts w:ascii="Times New Roman" w:hAnsi="Times New Roman" w:cs="Times New Roman"/>
          <w:bCs/>
          <w:sz w:val="26"/>
          <w:szCs w:val="26"/>
          <w:lang w:val="uk-UA"/>
        </w:rPr>
        <w:t>П</w:t>
      </w:r>
      <w:r w:rsidRPr="006C6A5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овідомлення передано члену Вищої кваліфікаційної комісії суддів України </w:t>
      </w:r>
      <w:r w:rsidR="005B4ADE" w:rsidRPr="006C6A5F">
        <w:rPr>
          <w:rFonts w:ascii="Times New Roman" w:hAnsi="Times New Roman" w:cs="Times New Roman"/>
          <w:bCs/>
          <w:sz w:val="26"/>
          <w:szCs w:val="26"/>
          <w:lang w:val="uk-UA"/>
        </w:rPr>
        <w:t>Луганському В.І.</w:t>
      </w:r>
    </w:p>
    <w:p w:rsidR="009B448E" w:rsidRPr="006C6A5F" w:rsidRDefault="006C6A5F" w:rsidP="006C6A5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C6A5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Заслухавши доповідача – члена </w:t>
      </w:r>
      <w:r w:rsidR="009B448E" w:rsidRPr="006C6A5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Вищої кваліфікаційної комісії суддів України </w:t>
      </w:r>
      <w:r w:rsidR="005B4ADE" w:rsidRPr="006C6A5F">
        <w:rPr>
          <w:rFonts w:ascii="Times New Roman" w:hAnsi="Times New Roman" w:cs="Times New Roman"/>
          <w:bCs/>
          <w:sz w:val="26"/>
          <w:szCs w:val="26"/>
          <w:lang w:val="uk-UA"/>
        </w:rPr>
        <w:t>Луганського В.І.</w:t>
      </w:r>
      <w:r w:rsidR="009B448E" w:rsidRPr="006C6A5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</w:t>
      </w:r>
      <w:r w:rsidRPr="006C6A5F">
        <w:rPr>
          <w:rFonts w:ascii="Times New Roman" w:hAnsi="Times New Roman" w:cs="Times New Roman"/>
          <w:bCs/>
          <w:sz w:val="26"/>
          <w:szCs w:val="26"/>
          <w:lang w:val="uk-UA"/>
        </w:rPr>
        <w:t>Комісія</w:t>
      </w:r>
      <w:r w:rsidR="009B448E" w:rsidRPr="006C6A5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у складі колегії встановила таке.</w:t>
      </w:r>
    </w:p>
    <w:p w:rsidR="005B4ADE" w:rsidRPr="006C6A5F" w:rsidRDefault="00067A12" w:rsidP="006C6A5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6A5F">
        <w:rPr>
          <w:rFonts w:ascii="Times New Roman" w:hAnsi="Times New Roman" w:cs="Times New Roman"/>
          <w:bCs/>
          <w:sz w:val="26"/>
          <w:szCs w:val="26"/>
          <w:lang w:val="uk-UA"/>
        </w:rPr>
        <w:t>Відповідно до частини п’ятої статті 61 Закону у</w:t>
      </w:r>
      <w:r w:rsidRPr="006C6A5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C6A5F">
        <w:rPr>
          <w:rFonts w:ascii="Times New Roman" w:hAnsi="Times New Roman" w:cs="Times New Roman"/>
          <w:bCs/>
          <w:sz w:val="26"/>
          <w:szCs w:val="26"/>
          <w:lang w:val="uk-UA"/>
        </w:rPr>
        <w:t>разі одержання інформації, що може свідчити про недостовірність (у тому числі неповноту) відомостей, поданих суддею у декларації родинних зв’язків, Вища кваліфікаційна комісія суддів України проводить перевірку зазначеної декларації.</w:t>
      </w:r>
      <w:r w:rsidR="0044030F" w:rsidRPr="006C6A5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5B4ADE" w:rsidRPr="007478B6">
        <w:rPr>
          <w:rFonts w:ascii="Times New Roman" w:hAnsi="Times New Roman" w:cs="Times New Roman"/>
          <w:bCs/>
          <w:sz w:val="26"/>
          <w:szCs w:val="26"/>
          <w:lang w:val="uk-UA"/>
        </w:rPr>
        <w:t>Як передбачено частиною шо</w:t>
      </w:r>
      <w:r w:rsidRPr="007478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стою </w:t>
      </w:r>
      <w:r w:rsidR="007478B6" w:rsidRPr="007478B6">
        <w:rPr>
          <w:rFonts w:ascii="Times New Roman" w:hAnsi="Times New Roman" w:cs="Times New Roman"/>
          <w:bCs/>
          <w:sz w:val="26"/>
          <w:szCs w:val="26"/>
          <w:lang w:val="uk-UA"/>
        </w:rPr>
        <w:br/>
      </w:r>
      <w:r w:rsidRPr="007478B6">
        <w:rPr>
          <w:rFonts w:ascii="Times New Roman" w:hAnsi="Times New Roman" w:cs="Times New Roman"/>
          <w:bCs/>
          <w:sz w:val="26"/>
          <w:szCs w:val="26"/>
          <w:lang w:val="uk-UA"/>
        </w:rPr>
        <w:t>статті 62 вказаного Закону</w:t>
      </w:r>
      <w:r w:rsidR="005B4ADE" w:rsidRPr="007478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у разі одержання і</w:t>
      </w:r>
      <w:r w:rsidR="005B4ADE" w:rsidRPr="006C6A5F">
        <w:rPr>
          <w:rFonts w:ascii="Times New Roman" w:hAnsi="Times New Roman" w:cs="Times New Roman"/>
          <w:bCs/>
          <w:sz w:val="26"/>
          <w:szCs w:val="26"/>
        </w:rPr>
        <w:t>нформації, що може свідчити про недостовірність (у тому числі неповноту) тверджень судді в декларації доброчесності, Вища кваліфікаційна комісія суддів України проводить відповідну перевірку.</w:t>
      </w:r>
    </w:p>
    <w:p w:rsidR="007478B6" w:rsidRDefault="002364A2" w:rsidP="006C6A5F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6A5F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Згідно з пунктом 185 Регламенту </w:t>
      </w:r>
      <w:r w:rsidR="007478B6" w:rsidRPr="007478B6">
        <w:rPr>
          <w:rFonts w:ascii="Times New Roman" w:hAnsi="Times New Roman" w:cs="Times New Roman"/>
          <w:bCs/>
          <w:sz w:val="26"/>
          <w:szCs w:val="26"/>
        </w:rPr>
        <w:t>Вищої кваліфікаційної комісії суддів України, затвердженого рішенням Вищої кваліфікаційної комісії суддів України від 13 жовтня 2016 року № 81/зп-16 (у редакції рішення Вищої кваліфікаційної комісії суддів України 19 жовтня 2023 року № 119/зп-23,</w:t>
      </w:r>
      <w:r w:rsidR="007478B6">
        <w:rPr>
          <w:rFonts w:ascii="Times New Roman" w:hAnsi="Times New Roman" w:cs="Times New Roman"/>
          <w:bCs/>
          <w:sz w:val="26"/>
          <w:szCs w:val="26"/>
        </w:rPr>
        <w:t xml:space="preserve"> зі змінами) (далі – Регламент) </w:t>
      </w:r>
      <w:r w:rsidRPr="006C6A5F">
        <w:rPr>
          <w:rFonts w:ascii="Times New Roman" w:hAnsi="Times New Roman" w:cs="Times New Roman"/>
          <w:bCs/>
          <w:sz w:val="26"/>
          <w:szCs w:val="26"/>
        </w:rPr>
        <w:t>у разі встановлення Комісією фактів несвоєчасного подання декларації родинних зв’язків судді або декларації до</w:t>
      </w:r>
      <w:bookmarkStart w:id="0" w:name="_GoBack"/>
      <w:bookmarkEnd w:id="0"/>
      <w:r w:rsidRPr="006C6A5F">
        <w:rPr>
          <w:rFonts w:ascii="Times New Roman" w:hAnsi="Times New Roman" w:cs="Times New Roman"/>
          <w:bCs/>
          <w:sz w:val="26"/>
          <w:szCs w:val="26"/>
        </w:rPr>
        <w:t>брочесності судді, або декларування суддею завідомо недостовірних (у тому числі неповних) відомостей або тверджень Комісія також ухвалює рішення про звернення до Вищої ради правосуддя стосовно притягнення судді до дисциплінарної відповідальності в порядку, в</w:t>
      </w:r>
      <w:r w:rsidR="007478B6">
        <w:rPr>
          <w:rFonts w:ascii="Times New Roman" w:hAnsi="Times New Roman" w:cs="Times New Roman"/>
          <w:bCs/>
          <w:sz w:val="26"/>
          <w:szCs w:val="26"/>
        </w:rPr>
        <w:t>становленому статтею 107 Закону.</w:t>
      </w:r>
    </w:p>
    <w:p w:rsidR="007478B6" w:rsidRDefault="005B4ADE" w:rsidP="006C6A5F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6A5F">
        <w:rPr>
          <w:rFonts w:ascii="Times New Roman" w:hAnsi="Times New Roman" w:cs="Times New Roman"/>
          <w:bCs/>
          <w:sz w:val="26"/>
          <w:szCs w:val="26"/>
        </w:rPr>
        <w:t>Процедуру перевірки унор</w:t>
      </w:r>
      <w:r w:rsidR="007478B6">
        <w:rPr>
          <w:rFonts w:ascii="Times New Roman" w:hAnsi="Times New Roman" w:cs="Times New Roman"/>
          <w:bCs/>
          <w:sz w:val="26"/>
          <w:szCs w:val="26"/>
        </w:rPr>
        <w:t>мовано параграфом 11 Регламенту.</w:t>
      </w:r>
    </w:p>
    <w:p w:rsidR="005B4ADE" w:rsidRPr="006C6A5F" w:rsidRDefault="005B4ADE" w:rsidP="006C6A5F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6A5F">
        <w:rPr>
          <w:rFonts w:ascii="Times New Roman" w:hAnsi="Times New Roman" w:cs="Times New Roman"/>
          <w:bCs/>
          <w:sz w:val="26"/>
          <w:szCs w:val="26"/>
        </w:rPr>
        <w:t xml:space="preserve">Згідно з пунктом 173 Регламенту повідомлення щодо інформації, яка може свідчити про недостовірність (у тому числі неповноту) відомостей або тверджень, указаних у декларації родинних зв’язків судді (кандидата на посаду судді) та декларації доброчесності судді (кандидата на посаду судді), подається до Комісії в довільній формі або у формі, яка затверджена Комісією, реєструється секретаріатом Комісії. Повідомлення має містити такі відомості: прізвище, ім’я, по батькові (найменування) заявника, адресу його місця проживання (перебування) або місцезнаходження, номери засобів зв’язку, адресу електронної пошти; прізвище, ім’я, по батькові судді (кандидата на посаду судді); назву суду, в якому працює суддя (для декларації суддів); вид декларації, в якій, на думку заявника, суддею або кандидатом на посаду судді зазначено недостовірні або неповні відомості; посилання на відомості або твердження відповідної декларації, що, на думку заявника, є недостовірними або неповними; конкретну інформацію, яка підтверджує недостовірність чи неповноту відомостей або тверджень у відповідній декларації і може бути перевірена; дату складення повідомлення; підпис </w:t>
      </w:r>
      <w:r w:rsidRPr="006C6A5F">
        <w:rPr>
          <w:rFonts w:ascii="Times New Roman" w:hAnsi="Times New Roman" w:cs="Times New Roman"/>
          <w:bCs/>
          <w:sz w:val="26"/>
          <w:szCs w:val="26"/>
        </w:rPr>
        <w:lastRenderedPageBreak/>
        <w:t>заявника.</w:t>
      </w:r>
      <w:r w:rsidR="007972B4" w:rsidRPr="006C6A5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C6A5F">
        <w:rPr>
          <w:rFonts w:ascii="Times New Roman" w:hAnsi="Times New Roman" w:cs="Times New Roman"/>
          <w:bCs/>
          <w:sz w:val="26"/>
          <w:szCs w:val="26"/>
        </w:rPr>
        <w:t>Повідомлення може стосуватись лише одного судді або кандидата на посаду судді та окремої декларації (пункт 174 Регламенту).</w:t>
      </w:r>
    </w:p>
    <w:p w:rsidR="00530534" w:rsidRPr="006C6A5F" w:rsidRDefault="00530534" w:rsidP="006C6A5F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6A5F">
        <w:rPr>
          <w:rFonts w:ascii="Times New Roman" w:hAnsi="Times New Roman" w:cs="Times New Roman"/>
          <w:bCs/>
          <w:sz w:val="26"/>
          <w:szCs w:val="26"/>
        </w:rPr>
        <w:t xml:space="preserve">Аналогічні вимоги до змісту повідомлення були закріплені в пункті 6.2.1 чинного на час звернення заявника </w:t>
      </w:r>
      <w:r w:rsidR="00067A12" w:rsidRPr="006C6A5F">
        <w:rPr>
          <w:rFonts w:ascii="Times New Roman" w:hAnsi="Times New Roman" w:cs="Times New Roman"/>
          <w:bCs/>
          <w:sz w:val="26"/>
          <w:szCs w:val="26"/>
        </w:rPr>
        <w:t xml:space="preserve">до Комісії </w:t>
      </w:r>
      <w:r w:rsidRPr="006C6A5F">
        <w:rPr>
          <w:rFonts w:ascii="Times New Roman" w:hAnsi="Times New Roman" w:cs="Times New Roman"/>
          <w:bCs/>
          <w:sz w:val="26"/>
          <w:szCs w:val="26"/>
        </w:rPr>
        <w:t>Регламенту, відповідно до якого повідомлення щодо інформації, яка може свідчити про недостовірність (у тому числі неповноту) відомостей або тверджень, вказаних суддею в декларації родинних зв’язків судді та декларації доброчесності судді, подається до Комісії відповідно до визначеної додатком 2 форми, реєструється секретаріатом Комісії та повинно містити такі відомості: прізвище, ім’я, по батькові (найменування) заявника, його місце проживання (перебування) або місцезнаходження, поштовий індекс, номери засобів зв’язку; прізвище, ім’я, по батькові судді; назву суду, в якому працює суддя; вид декларації, в якій, на думку заявника, суддею зазначено недостовірні або неповні відомості; посилання на відомості або твердження відповідної декларації, що, на думку заявника, є недостовірними або неповними; конкретну інформацію, яка підтверджує недостовірність чи неповноту відомостей або тверджень у відповідній декларації і може бути перевірена; дату складення повідомлення; підпис заявника. Повідомлення може стосуватись лише одного судді та окремо декларації родинних зв’язків судді або декларації доброчесності судді, поданої цим суддею.</w:t>
      </w:r>
    </w:p>
    <w:p w:rsidR="005B4ADE" w:rsidRPr="006C6A5F" w:rsidRDefault="005B4ADE" w:rsidP="006C6A5F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6A5F">
        <w:rPr>
          <w:rFonts w:ascii="Times New Roman" w:hAnsi="Times New Roman" w:cs="Times New Roman"/>
          <w:bCs/>
          <w:sz w:val="26"/>
          <w:szCs w:val="26"/>
        </w:rPr>
        <w:t xml:space="preserve">Відповідно до пункту 180 Регламенту Комісія у складі колегії залишає без розгляду повідомлення щодо інформації, яка може свідчити про недостовірність (у тому числі неповноту) відомостей або тверджень, указаних </w:t>
      </w:r>
      <w:r w:rsidR="007478B6">
        <w:rPr>
          <w:rFonts w:ascii="Times New Roman" w:hAnsi="Times New Roman" w:cs="Times New Roman"/>
          <w:bCs/>
          <w:sz w:val="26"/>
          <w:szCs w:val="26"/>
        </w:rPr>
        <w:t>у</w:t>
      </w:r>
      <w:r w:rsidRPr="006C6A5F">
        <w:rPr>
          <w:rFonts w:ascii="Times New Roman" w:hAnsi="Times New Roman" w:cs="Times New Roman"/>
          <w:bCs/>
          <w:sz w:val="26"/>
          <w:szCs w:val="26"/>
        </w:rPr>
        <w:t xml:space="preserve"> декларації родинних зв’язків судді (кандидата на посаду судді) або декларації доброчесності судді (кандидата на посаду судді), зокрема, у разі якщо повідомлення не відповідає вимогам, визначеним цим Регламентом.</w:t>
      </w:r>
    </w:p>
    <w:p w:rsidR="005B4ADE" w:rsidRPr="006C6A5F" w:rsidRDefault="005B4ADE" w:rsidP="006C6A5F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6A5F">
        <w:rPr>
          <w:rFonts w:ascii="Times New Roman" w:hAnsi="Times New Roman" w:cs="Times New Roman"/>
          <w:bCs/>
          <w:sz w:val="26"/>
          <w:szCs w:val="26"/>
        </w:rPr>
        <w:t>Отже, аналіз вказаних норм дає підстави вважати, що першим етапом розгляду повідомлення є його перевірка на відповідність вимогам, виз</w:t>
      </w:r>
      <w:r w:rsidR="00F010C8" w:rsidRPr="006C6A5F">
        <w:rPr>
          <w:rFonts w:ascii="Times New Roman" w:hAnsi="Times New Roman" w:cs="Times New Roman"/>
          <w:bCs/>
          <w:sz w:val="26"/>
          <w:szCs w:val="26"/>
        </w:rPr>
        <w:t>наченим пунктом 174 Регламенту</w:t>
      </w:r>
      <w:r w:rsidR="0089540B" w:rsidRPr="006C6A5F">
        <w:rPr>
          <w:rFonts w:ascii="ProbaPro" w:hAnsi="ProbaPro"/>
          <w:color w:val="000000"/>
          <w:sz w:val="26"/>
          <w:szCs w:val="26"/>
          <w:shd w:val="clear" w:color="auto" w:fill="FFFFFF"/>
        </w:rPr>
        <w:t xml:space="preserve"> </w:t>
      </w:r>
      <w:r w:rsidR="0089540B" w:rsidRPr="006C6A5F">
        <w:rPr>
          <w:rFonts w:ascii="Times New Roman" w:hAnsi="Times New Roman" w:cs="Times New Roman"/>
          <w:bCs/>
          <w:sz w:val="26"/>
          <w:szCs w:val="26"/>
        </w:rPr>
        <w:t>(у цьому випадку пунктом 6.2.1. Регламенту у редакції, чинній на час звернення заявника з повідомленням до Комісії)</w:t>
      </w:r>
      <w:r w:rsidR="00F010C8" w:rsidRPr="006C6A5F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6C6A5F">
        <w:rPr>
          <w:rFonts w:ascii="Times New Roman" w:hAnsi="Times New Roman" w:cs="Times New Roman"/>
          <w:bCs/>
          <w:sz w:val="26"/>
          <w:szCs w:val="26"/>
        </w:rPr>
        <w:t>Тому в разі невідповідності повідомлення передбаченим вимогам наведена в ньому інформація перевірці не підлягає, а повідомлення залишається без розгляду.</w:t>
      </w:r>
    </w:p>
    <w:p w:rsidR="005B4ADE" w:rsidRPr="006C6A5F" w:rsidRDefault="005B4ADE" w:rsidP="006C6A5F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6A5F">
        <w:rPr>
          <w:rFonts w:ascii="Times New Roman" w:hAnsi="Times New Roman" w:cs="Times New Roman"/>
          <w:bCs/>
          <w:sz w:val="26"/>
          <w:szCs w:val="26"/>
        </w:rPr>
        <w:t xml:space="preserve">Комісією встановлено, що </w:t>
      </w:r>
      <w:r w:rsidR="00514260" w:rsidRPr="006C6A5F">
        <w:rPr>
          <w:rFonts w:ascii="Times New Roman" w:hAnsi="Times New Roman" w:cs="Times New Roman"/>
          <w:bCs/>
          <w:sz w:val="26"/>
          <w:szCs w:val="26"/>
        </w:rPr>
        <w:t>заявник</w:t>
      </w:r>
      <w:r w:rsidRPr="006C6A5F">
        <w:rPr>
          <w:rFonts w:ascii="Times New Roman" w:hAnsi="Times New Roman" w:cs="Times New Roman"/>
          <w:bCs/>
          <w:sz w:val="26"/>
          <w:szCs w:val="26"/>
        </w:rPr>
        <w:t xml:space="preserve"> у своєму </w:t>
      </w:r>
      <w:r w:rsidR="006C6A5F" w:rsidRPr="006C6A5F">
        <w:rPr>
          <w:rFonts w:ascii="Times New Roman" w:hAnsi="Times New Roman" w:cs="Times New Roman"/>
          <w:bCs/>
          <w:sz w:val="26"/>
          <w:szCs w:val="26"/>
        </w:rPr>
        <w:t>П</w:t>
      </w:r>
      <w:r w:rsidRPr="006C6A5F">
        <w:rPr>
          <w:rFonts w:ascii="Times New Roman" w:hAnsi="Times New Roman" w:cs="Times New Roman"/>
          <w:bCs/>
          <w:sz w:val="26"/>
          <w:szCs w:val="26"/>
        </w:rPr>
        <w:t xml:space="preserve">овідомленні просить здійснити перевірку </w:t>
      </w:r>
      <w:r w:rsidR="002364A2" w:rsidRPr="006C6A5F">
        <w:rPr>
          <w:rFonts w:ascii="Times New Roman" w:hAnsi="Times New Roman" w:cs="Times New Roman"/>
          <w:bCs/>
          <w:sz w:val="26"/>
          <w:szCs w:val="26"/>
        </w:rPr>
        <w:t>декларацій</w:t>
      </w:r>
      <w:r w:rsidRPr="006C6A5F">
        <w:rPr>
          <w:rFonts w:ascii="Times New Roman" w:hAnsi="Times New Roman" w:cs="Times New Roman"/>
          <w:bCs/>
          <w:sz w:val="26"/>
          <w:szCs w:val="26"/>
        </w:rPr>
        <w:t xml:space="preserve"> доброчесності судді </w:t>
      </w:r>
      <w:r w:rsidR="00514260" w:rsidRPr="006C6A5F">
        <w:rPr>
          <w:rFonts w:ascii="Times New Roman" w:hAnsi="Times New Roman" w:cs="Times New Roman"/>
          <w:bCs/>
          <w:sz w:val="26"/>
          <w:szCs w:val="26"/>
        </w:rPr>
        <w:t>та родинних зв’язків</w:t>
      </w:r>
      <w:r w:rsidR="002364A2" w:rsidRPr="006C6A5F">
        <w:rPr>
          <w:rFonts w:ascii="Times New Roman" w:hAnsi="Times New Roman" w:cs="Times New Roman"/>
          <w:bCs/>
          <w:sz w:val="26"/>
          <w:szCs w:val="26"/>
        </w:rPr>
        <w:t xml:space="preserve"> без зазначення їх періодів,</w:t>
      </w:r>
      <w:r w:rsidR="0089540B" w:rsidRPr="006C6A5F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по </w:t>
      </w:r>
      <w:r w:rsidR="0089540B" w:rsidRPr="006C6A5F">
        <w:rPr>
          <w:rFonts w:ascii="Times New Roman" w:hAnsi="Times New Roman" w:cs="Times New Roman"/>
          <w:bCs/>
          <w:sz w:val="26"/>
          <w:szCs w:val="26"/>
        </w:rPr>
        <w:t>суті всіх декларацій доброчесності судді та</w:t>
      </w:r>
      <w:r w:rsidR="007478B6">
        <w:rPr>
          <w:rFonts w:ascii="Times New Roman" w:hAnsi="Times New Roman" w:cs="Times New Roman"/>
          <w:bCs/>
          <w:sz w:val="26"/>
          <w:szCs w:val="26"/>
        </w:rPr>
        <w:t xml:space="preserve"> родинних зв’язків, поданих Хом’</w:t>
      </w:r>
      <w:r w:rsidR="0089540B" w:rsidRPr="006C6A5F">
        <w:rPr>
          <w:rFonts w:ascii="Times New Roman" w:hAnsi="Times New Roman" w:cs="Times New Roman"/>
          <w:bCs/>
          <w:sz w:val="26"/>
          <w:szCs w:val="26"/>
        </w:rPr>
        <w:t>яковою В.В. до 20</w:t>
      </w:r>
      <w:r w:rsidR="0089540B" w:rsidRPr="006C6A5F">
        <w:rPr>
          <w:rFonts w:ascii="Times New Roman" w:hAnsi="Times New Roman" w:cs="Times New Roman"/>
          <w:bCs/>
          <w:sz w:val="26"/>
          <w:szCs w:val="26"/>
          <w:lang w:val="ru-RU"/>
        </w:rPr>
        <w:t>19 року,</w:t>
      </w:r>
      <w:r w:rsidR="002364A2" w:rsidRPr="006C6A5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C6A5F">
        <w:rPr>
          <w:rFonts w:ascii="Times New Roman" w:hAnsi="Times New Roman" w:cs="Times New Roman"/>
          <w:bCs/>
          <w:sz w:val="26"/>
          <w:szCs w:val="26"/>
        </w:rPr>
        <w:t>що не узгоджується з вимогами, визначеними Регламентом, оскільки повідомлення повинно стосуватися лише окремої декларації.</w:t>
      </w:r>
      <w:r w:rsidR="007972B4" w:rsidRPr="006C6A5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C6A5F">
        <w:rPr>
          <w:rFonts w:ascii="Times New Roman" w:hAnsi="Times New Roman" w:cs="Times New Roman"/>
          <w:bCs/>
          <w:sz w:val="26"/>
          <w:szCs w:val="26"/>
        </w:rPr>
        <w:t xml:space="preserve">Таким чином, </w:t>
      </w:r>
      <w:r w:rsidR="006C6A5F" w:rsidRPr="006C6A5F">
        <w:rPr>
          <w:rFonts w:ascii="Times New Roman" w:hAnsi="Times New Roman" w:cs="Times New Roman"/>
          <w:bCs/>
          <w:sz w:val="26"/>
          <w:szCs w:val="26"/>
        </w:rPr>
        <w:t>П</w:t>
      </w:r>
      <w:r w:rsidRPr="006C6A5F">
        <w:rPr>
          <w:rFonts w:ascii="Times New Roman" w:hAnsi="Times New Roman" w:cs="Times New Roman"/>
          <w:bCs/>
          <w:sz w:val="26"/>
          <w:szCs w:val="26"/>
        </w:rPr>
        <w:t>овідомлення за своїм змістом не відповідає вимогам, визначеним Регламентом.</w:t>
      </w:r>
    </w:p>
    <w:p w:rsidR="005B4ADE" w:rsidRPr="006C6A5F" w:rsidRDefault="005B4ADE" w:rsidP="006C6A5F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6A5F">
        <w:rPr>
          <w:rFonts w:ascii="Times New Roman" w:hAnsi="Times New Roman" w:cs="Times New Roman"/>
          <w:bCs/>
          <w:sz w:val="26"/>
          <w:szCs w:val="26"/>
        </w:rPr>
        <w:t xml:space="preserve">З огляду на наведене та відповідно до пункту 180 Регламенту </w:t>
      </w:r>
      <w:r w:rsidR="006C6A5F" w:rsidRPr="006C6A5F">
        <w:rPr>
          <w:rFonts w:ascii="Times New Roman" w:hAnsi="Times New Roman" w:cs="Times New Roman"/>
          <w:bCs/>
          <w:sz w:val="26"/>
          <w:szCs w:val="26"/>
        </w:rPr>
        <w:t>П</w:t>
      </w:r>
      <w:r w:rsidRPr="006C6A5F">
        <w:rPr>
          <w:rFonts w:ascii="Times New Roman" w:hAnsi="Times New Roman" w:cs="Times New Roman"/>
          <w:bCs/>
          <w:sz w:val="26"/>
          <w:szCs w:val="26"/>
        </w:rPr>
        <w:t>овідомлення підлягає залишенню без розгляду.</w:t>
      </w:r>
    </w:p>
    <w:p w:rsidR="005B4ADE" w:rsidRPr="006C6A5F" w:rsidRDefault="005B4ADE" w:rsidP="006C6A5F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6A5F">
        <w:rPr>
          <w:rFonts w:ascii="Times New Roman" w:hAnsi="Times New Roman" w:cs="Times New Roman"/>
          <w:bCs/>
          <w:sz w:val="26"/>
          <w:szCs w:val="26"/>
        </w:rPr>
        <w:t>Керуючись статтями 62, 93 Закону України «Про судоустрій і статус суддів», параграфом 11 Регламенту Вищої кваліфікаційної комісії суддів України, Вища кваліфікаційна комісія суддів України одноголосно</w:t>
      </w:r>
    </w:p>
    <w:p w:rsidR="00475A33" w:rsidRPr="006C6A5F" w:rsidRDefault="00475A33" w:rsidP="006C6A5F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B4ADE" w:rsidRPr="006C6A5F" w:rsidRDefault="005B4ADE" w:rsidP="006C6A5F">
      <w:pPr>
        <w:shd w:val="clear" w:color="auto" w:fill="FFFFFF"/>
        <w:spacing w:after="240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C6A5F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2F0CBF" w:rsidRPr="006C6A5F" w:rsidRDefault="005B4ADE" w:rsidP="006C6A5F">
      <w:pPr>
        <w:shd w:val="clear" w:color="auto" w:fill="FFFFFF"/>
        <w:spacing w:after="24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C6A5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повідомлення </w:t>
      </w:r>
      <w:r w:rsidR="006C6A5F" w:rsidRPr="006C6A5F">
        <w:rPr>
          <w:rFonts w:ascii="Times New Roman" w:hAnsi="Times New Roman" w:cs="Times New Roman"/>
          <w:bCs/>
          <w:sz w:val="26"/>
          <w:szCs w:val="26"/>
          <w:lang w:val="uk-UA"/>
        </w:rPr>
        <w:t>Управління Служби безпеки України в Херсонській області щодо інформації, яка може свідчити про недостовірність (у тому числі неповноту) тверджень, відомостей, указаних суддею Херсонського окружного адміністративного суду Хом’яковою Вікторією Валеріївною в деклараціях доброчесності судді та деклараціях родинних зв’язків судді</w:t>
      </w:r>
      <w:r w:rsidRPr="006C6A5F">
        <w:rPr>
          <w:rFonts w:ascii="Times New Roman" w:hAnsi="Times New Roman" w:cs="Times New Roman"/>
          <w:bCs/>
          <w:sz w:val="26"/>
          <w:szCs w:val="26"/>
          <w:lang w:val="uk-UA"/>
        </w:rPr>
        <w:t>, залишити без розгляду.</w:t>
      </w:r>
    </w:p>
    <w:p w:rsidR="00621490" w:rsidRPr="006C6A5F" w:rsidRDefault="00621490" w:rsidP="006C6A5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500087" w:rsidRPr="006C6A5F" w:rsidRDefault="00577218" w:rsidP="006C6A5F">
      <w:pPr>
        <w:shd w:val="clear" w:color="auto" w:fill="FFFFFF"/>
        <w:suppressAutoHyphens/>
        <w:spacing w:after="2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6C6A5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Головуючий</w:t>
      </w:r>
      <w:r w:rsidRPr="006C6A5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6C6A5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6C6A5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6C6A5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6C6A5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DF386A" w:rsidRPr="006C6A5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DF386A" w:rsidRPr="006C6A5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DF386A" w:rsidRPr="006C6A5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442099" w:rsidRPr="006C6A5F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 xml:space="preserve">  </w:t>
      </w:r>
      <w:r w:rsidR="00267BEE" w:rsidRPr="006C6A5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Олексій ОМЕЛЬЯН</w:t>
      </w:r>
    </w:p>
    <w:p w:rsidR="00F010C8" w:rsidRPr="006C6A5F" w:rsidRDefault="00F010C8" w:rsidP="006C6A5F">
      <w:pPr>
        <w:shd w:val="clear" w:color="auto" w:fill="FFFFFF"/>
        <w:suppressAutoHyphens/>
        <w:spacing w:after="2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495C25" w:rsidRPr="006C6A5F" w:rsidRDefault="00DF386A" w:rsidP="006C6A5F">
      <w:pPr>
        <w:shd w:val="clear" w:color="auto" w:fill="FFFFFF"/>
        <w:suppressAutoHyphens/>
        <w:spacing w:after="2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6C6A5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Члени Комісії:</w:t>
      </w:r>
      <w:r w:rsidRPr="006C6A5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6C6A5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6C6A5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6C6A5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6C6A5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6C6A5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6C6A5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442099" w:rsidRPr="006C6A5F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 xml:space="preserve">  </w:t>
      </w:r>
      <w:r w:rsidR="00267BEE" w:rsidRPr="006C6A5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Ярослав ДУХ</w:t>
      </w:r>
    </w:p>
    <w:p w:rsidR="00F010C8" w:rsidRPr="006C6A5F" w:rsidRDefault="00F010C8" w:rsidP="006C6A5F">
      <w:pPr>
        <w:shd w:val="clear" w:color="auto" w:fill="FFFFFF"/>
        <w:suppressAutoHyphens/>
        <w:spacing w:after="240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</w:pPr>
    </w:p>
    <w:p w:rsidR="00812509" w:rsidRPr="006C6A5F" w:rsidRDefault="00F010C8" w:rsidP="006C6A5F">
      <w:pPr>
        <w:shd w:val="clear" w:color="auto" w:fill="FFFFFF"/>
        <w:suppressAutoHyphens/>
        <w:spacing w:after="240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6C6A5F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 xml:space="preserve">  </w:t>
      </w:r>
      <w:r w:rsidR="00267BEE" w:rsidRPr="006C6A5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Володимир ЛУГАНСЬКИЙ</w:t>
      </w:r>
    </w:p>
    <w:sectPr w:rsidR="00812509" w:rsidRPr="006C6A5F" w:rsidSect="00B62DE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2E07" w:rsidRDefault="00002E07" w:rsidP="005F2A2E">
      <w:pPr>
        <w:spacing w:after="0" w:line="240" w:lineRule="auto"/>
      </w:pPr>
      <w:r>
        <w:separator/>
      </w:r>
    </w:p>
  </w:endnote>
  <w:endnote w:type="continuationSeparator" w:id="0">
    <w:p w:rsidR="00002E07" w:rsidRDefault="00002E07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2E07" w:rsidRDefault="00002E07" w:rsidP="005F2A2E">
      <w:pPr>
        <w:spacing w:after="0" w:line="240" w:lineRule="auto"/>
      </w:pPr>
      <w:r>
        <w:separator/>
      </w:r>
    </w:p>
  </w:footnote>
  <w:footnote w:type="continuationSeparator" w:id="0">
    <w:p w:rsidR="00002E07" w:rsidRDefault="00002E07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836413"/>
      <w:docPartObj>
        <w:docPartGallery w:val="Page Numbers (Top of Page)"/>
        <w:docPartUnique/>
      </w:docPartObj>
    </w:sdtPr>
    <w:sdtEndPr/>
    <w:sdtContent>
      <w:p w:rsidR="005F2A2E" w:rsidRDefault="005F2A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8B6">
          <w:rPr>
            <w:noProof/>
          </w:rPr>
          <w:t>4</w:t>
        </w:r>
        <w:r>
          <w:fldChar w:fldCharType="end"/>
        </w:r>
      </w:p>
    </w:sdtContent>
  </w:sdt>
  <w:p w:rsidR="005F2A2E" w:rsidRDefault="005F2A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D7BDA"/>
    <w:multiLevelType w:val="hybridMultilevel"/>
    <w:tmpl w:val="53C88D3A"/>
    <w:lvl w:ilvl="0" w:tplc="6498A826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auto"/>
        <w:sz w:val="26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E46E3E"/>
    <w:multiLevelType w:val="hybridMultilevel"/>
    <w:tmpl w:val="486CCFF6"/>
    <w:lvl w:ilvl="0" w:tplc="5330E838">
      <w:start w:val="27"/>
      <w:numFmt w:val="bullet"/>
      <w:lvlText w:val="-"/>
      <w:lvlJc w:val="left"/>
      <w:pPr>
        <w:ind w:left="67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2E07"/>
    <w:rsid w:val="00004062"/>
    <w:rsid w:val="00005051"/>
    <w:rsid w:val="00006EB7"/>
    <w:rsid w:val="00012756"/>
    <w:rsid w:val="00017082"/>
    <w:rsid w:val="00024E2B"/>
    <w:rsid w:val="00032BD2"/>
    <w:rsid w:val="000353E5"/>
    <w:rsid w:val="0004259C"/>
    <w:rsid w:val="00045C3B"/>
    <w:rsid w:val="0005276B"/>
    <w:rsid w:val="00061EA7"/>
    <w:rsid w:val="0006616B"/>
    <w:rsid w:val="00067A12"/>
    <w:rsid w:val="00067C98"/>
    <w:rsid w:val="00070F48"/>
    <w:rsid w:val="00076B66"/>
    <w:rsid w:val="00080C1D"/>
    <w:rsid w:val="000825F0"/>
    <w:rsid w:val="00086F3E"/>
    <w:rsid w:val="00091839"/>
    <w:rsid w:val="00091D22"/>
    <w:rsid w:val="00095EF2"/>
    <w:rsid w:val="000A2BF1"/>
    <w:rsid w:val="000A3251"/>
    <w:rsid w:val="000A5DE2"/>
    <w:rsid w:val="000A6EA3"/>
    <w:rsid w:val="000B07E7"/>
    <w:rsid w:val="000C14D6"/>
    <w:rsid w:val="000C3F1D"/>
    <w:rsid w:val="000C4598"/>
    <w:rsid w:val="000C627F"/>
    <w:rsid w:val="000F0C9B"/>
    <w:rsid w:val="000F1077"/>
    <w:rsid w:val="000F48FF"/>
    <w:rsid w:val="000F53DC"/>
    <w:rsid w:val="000F5AEB"/>
    <w:rsid w:val="0010454C"/>
    <w:rsid w:val="00124F77"/>
    <w:rsid w:val="0012765C"/>
    <w:rsid w:val="001372FB"/>
    <w:rsid w:val="0014371D"/>
    <w:rsid w:val="0015748D"/>
    <w:rsid w:val="00164991"/>
    <w:rsid w:val="00165935"/>
    <w:rsid w:val="00171468"/>
    <w:rsid w:val="00176F3D"/>
    <w:rsid w:val="00177C64"/>
    <w:rsid w:val="00186CBB"/>
    <w:rsid w:val="001A2217"/>
    <w:rsid w:val="001A5A5F"/>
    <w:rsid w:val="001A7FC9"/>
    <w:rsid w:val="001B00C1"/>
    <w:rsid w:val="001C2A07"/>
    <w:rsid w:val="001C5E95"/>
    <w:rsid w:val="001C61C3"/>
    <w:rsid w:val="001D7D45"/>
    <w:rsid w:val="001E0B0E"/>
    <w:rsid w:val="001E6ABE"/>
    <w:rsid w:val="001F7A07"/>
    <w:rsid w:val="00203DE1"/>
    <w:rsid w:val="0020698B"/>
    <w:rsid w:val="00207F99"/>
    <w:rsid w:val="00210D3A"/>
    <w:rsid w:val="002166DE"/>
    <w:rsid w:val="002167F5"/>
    <w:rsid w:val="002169FA"/>
    <w:rsid w:val="00217225"/>
    <w:rsid w:val="0022128D"/>
    <w:rsid w:val="00232DA0"/>
    <w:rsid w:val="00233714"/>
    <w:rsid w:val="002364A2"/>
    <w:rsid w:val="002405E4"/>
    <w:rsid w:val="002465C4"/>
    <w:rsid w:val="00252BB0"/>
    <w:rsid w:val="002562C1"/>
    <w:rsid w:val="00260BFB"/>
    <w:rsid w:val="00264239"/>
    <w:rsid w:val="00267BEE"/>
    <w:rsid w:val="0027477B"/>
    <w:rsid w:val="00280A16"/>
    <w:rsid w:val="0028346A"/>
    <w:rsid w:val="00286F34"/>
    <w:rsid w:val="002A1122"/>
    <w:rsid w:val="002A4EFF"/>
    <w:rsid w:val="002A5A0E"/>
    <w:rsid w:val="002B7655"/>
    <w:rsid w:val="002B793C"/>
    <w:rsid w:val="002B7B55"/>
    <w:rsid w:val="002C399C"/>
    <w:rsid w:val="002C6994"/>
    <w:rsid w:val="002E0061"/>
    <w:rsid w:val="002E1A3C"/>
    <w:rsid w:val="002E468E"/>
    <w:rsid w:val="002E73C9"/>
    <w:rsid w:val="002F0A30"/>
    <w:rsid w:val="002F0CBF"/>
    <w:rsid w:val="002F4AE5"/>
    <w:rsid w:val="003036BC"/>
    <w:rsid w:val="003058D1"/>
    <w:rsid w:val="00317DD5"/>
    <w:rsid w:val="00320086"/>
    <w:rsid w:val="00322686"/>
    <w:rsid w:val="00330910"/>
    <w:rsid w:val="00335ABA"/>
    <w:rsid w:val="00340DDB"/>
    <w:rsid w:val="00354D03"/>
    <w:rsid w:val="0035537A"/>
    <w:rsid w:val="003631D3"/>
    <w:rsid w:val="003750B6"/>
    <w:rsid w:val="003772DC"/>
    <w:rsid w:val="00387FF8"/>
    <w:rsid w:val="00390FD3"/>
    <w:rsid w:val="003911C9"/>
    <w:rsid w:val="00394C46"/>
    <w:rsid w:val="003A7D4A"/>
    <w:rsid w:val="003B54C1"/>
    <w:rsid w:val="003B5B83"/>
    <w:rsid w:val="003B7982"/>
    <w:rsid w:val="003D1C11"/>
    <w:rsid w:val="003D4CD5"/>
    <w:rsid w:val="003D6736"/>
    <w:rsid w:val="003D6E3A"/>
    <w:rsid w:val="004072FD"/>
    <w:rsid w:val="00421056"/>
    <w:rsid w:val="0042605B"/>
    <w:rsid w:val="004301D5"/>
    <w:rsid w:val="004331B7"/>
    <w:rsid w:val="00436A5A"/>
    <w:rsid w:val="0044030F"/>
    <w:rsid w:val="00442099"/>
    <w:rsid w:val="00442870"/>
    <w:rsid w:val="00447A36"/>
    <w:rsid w:val="004569EF"/>
    <w:rsid w:val="00460CD1"/>
    <w:rsid w:val="004622D9"/>
    <w:rsid w:val="004645FC"/>
    <w:rsid w:val="0046697B"/>
    <w:rsid w:val="0047252C"/>
    <w:rsid w:val="00474A45"/>
    <w:rsid w:val="00475A33"/>
    <w:rsid w:val="00475A3C"/>
    <w:rsid w:val="0048189E"/>
    <w:rsid w:val="00485E20"/>
    <w:rsid w:val="00495C25"/>
    <w:rsid w:val="004960E2"/>
    <w:rsid w:val="004A546D"/>
    <w:rsid w:val="004A66AA"/>
    <w:rsid w:val="004B1745"/>
    <w:rsid w:val="004C0C0B"/>
    <w:rsid w:val="004C2573"/>
    <w:rsid w:val="004D3B5E"/>
    <w:rsid w:val="004D48B2"/>
    <w:rsid w:val="004D5A83"/>
    <w:rsid w:val="004E6F7C"/>
    <w:rsid w:val="004F001D"/>
    <w:rsid w:val="004F528F"/>
    <w:rsid w:val="004F6FF3"/>
    <w:rsid w:val="004F79F6"/>
    <w:rsid w:val="00500087"/>
    <w:rsid w:val="0050489F"/>
    <w:rsid w:val="005107BB"/>
    <w:rsid w:val="00512022"/>
    <w:rsid w:val="00514260"/>
    <w:rsid w:val="00516D70"/>
    <w:rsid w:val="00530534"/>
    <w:rsid w:val="00531B37"/>
    <w:rsid w:val="00532C02"/>
    <w:rsid w:val="0054164F"/>
    <w:rsid w:val="005420DC"/>
    <w:rsid w:val="00545DA5"/>
    <w:rsid w:val="0055209A"/>
    <w:rsid w:val="00554D8D"/>
    <w:rsid w:val="005647AD"/>
    <w:rsid w:val="0057190C"/>
    <w:rsid w:val="00577218"/>
    <w:rsid w:val="005805C5"/>
    <w:rsid w:val="00595130"/>
    <w:rsid w:val="00596429"/>
    <w:rsid w:val="00597363"/>
    <w:rsid w:val="005B03F9"/>
    <w:rsid w:val="005B3796"/>
    <w:rsid w:val="005B4ADE"/>
    <w:rsid w:val="005B55E4"/>
    <w:rsid w:val="005B6265"/>
    <w:rsid w:val="005C169B"/>
    <w:rsid w:val="005C7087"/>
    <w:rsid w:val="005D0731"/>
    <w:rsid w:val="005D15CC"/>
    <w:rsid w:val="005D4CE6"/>
    <w:rsid w:val="005E0D3B"/>
    <w:rsid w:val="005E6877"/>
    <w:rsid w:val="005E6CD8"/>
    <w:rsid w:val="005F1D29"/>
    <w:rsid w:val="005F2A2E"/>
    <w:rsid w:val="005F3E98"/>
    <w:rsid w:val="005F770C"/>
    <w:rsid w:val="006070F1"/>
    <w:rsid w:val="00617C1E"/>
    <w:rsid w:val="00620BE1"/>
    <w:rsid w:val="00621490"/>
    <w:rsid w:val="0062742D"/>
    <w:rsid w:val="00654898"/>
    <w:rsid w:val="00656D8E"/>
    <w:rsid w:val="00663349"/>
    <w:rsid w:val="006671D4"/>
    <w:rsid w:val="00673F1D"/>
    <w:rsid w:val="00680F5B"/>
    <w:rsid w:val="0068336C"/>
    <w:rsid w:val="00685E84"/>
    <w:rsid w:val="00691D05"/>
    <w:rsid w:val="006964CD"/>
    <w:rsid w:val="006A1E3E"/>
    <w:rsid w:val="006B7D89"/>
    <w:rsid w:val="006C6A5F"/>
    <w:rsid w:val="006D2079"/>
    <w:rsid w:val="006E3D35"/>
    <w:rsid w:val="006E7E83"/>
    <w:rsid w:val="006F1D4F"/>
    <w:rsid w:val="0070366A"/>
    <w:rsid w:val="007057E9"/>
    <w:rsid w:val="00706645"/>
    <w:rsid w:val="00715D94"/>
    <w:rsid w:val="007201F7"/>
    <w:rsid w:val="00722732"/>
    <w:rsid w:val="00723394"/>
    <w:rsid w:val="0073015A"/>
    <w:rsid w:val="00742ED2"/>
    <w:rsid w:val="0074393D"/>
    <w:rsid w:val="00744569"/>
    <w:rsid w:val="007478B6"/>
    <w:rsid w:val="00757C26"/>
    <w:rsid w:val="0076106E"/>
    <w:rsid w:val="00763671"/>
    <w:rsid w:val="00767BAD"/>
    <w:rsid w:val="00776DC4"/>
    <w:rsid w:val="007817FB"/>
    <w:rsid w:val="00781F70"/>
    <w:rsid w:val="00785114"/>
    <w:rsid w:val="007876BC"/>
    <w:rsid w:val="007929F3"/>
    <w:rsid w:val="00795DB8"/>
    <w:rsid w:val="007963B8"/>
    <w:rsid w:val="007972B4"/>
    <w:rsid w:val="007A311C"/>
    <w:rsid w:val="007A3870"/>
    <w:rsid w:val="007A61F0"/>
    <w:rsid w:val="007B2D97"/>
    <w:rsid w:val="007C53E0"/>
    <w:rsid w:val="007C773F"/>
    <w:rsid w:val="007D27D7"/>
    <w:rsid w:val="007D3D02"/>
    <w:rsid w:val="007F2FCC"/>
    <w:rsid w:val="00800DD2"/>
    <w:rsid w:val="008120AE"/>
    <w:rsid w:val="00812509"/>
    <w:rsid w:val="00816005"/>
    <w:rsid w:val="00820103"/>
    <w:rsid w:val="00822A68"/>
    <w:rsid w:val="0082548B"/>
    <w:rsid w:val="00827FBF"/>
    <w:rsid w:val="00830F53"/>
    <w:rsid w:val="008312E5"/>
    <w:rsid w:val="00836302"/>
    <w:rsid w:val="0083651E"/>
    <w:rsid w:val="008421C3"/>
    <w:rsid w:val="00842B5B"/>
    <w:rsid w:val="0085072A"/>
    <w:rsid w:val="0085325E"/>
    <w:rsid w:val="00860975"/>
    <w:rsid w:val="0086453E"/>
    <w:rsid w:val="008669F4"/>
    <w:rsid w:val="00881307"/>
    <w:rsid w:val="00883322"/>
    <w:rsid w:val="008911BA"/>
    <w:rsid w:val="0089540B"/>
    <w:rsid w:val="00895FAD"/>
    <w:rsid w:val="00896177"/>
    <w:rsid w:val="008A47B1"/>
    <w:rsid w:val="008A597C"/>
    <w:rsid w:val="008B66B8"/>
    <w:rsid w:val="008C2BF1"/>
    <w:rsid w:val="008C6E5D"/>
    <w:rsid w:val="008D0DB0"/>
    <w:rsid w:val="008D106D"/>
    <w:rsid w:val="008D1514"/>
    <w:rsid w:val="008E2334"/>
    <w:rsid w:val="008E5BFA"/>
    <w:rsid w:val="00901E29"/>
    <w:rsid w:val="00902DAA"/>
    <w:rsid w:val="00904F15"/>
    <w:rsid w:val="0091113E"/>
    <w:rsid w:val="00911BEA"/>
    <w:rsid w:val="00913C43"/>
    <w:rsid w:val="009212C0"/>
    <w:rsid w:val="009217E5"/>
    <w:rsid w:val="00926496"/>
    <w:rsid w:val="00932BFE"/>
    <w:rsid w:val="00946435"/>
    <w:rsid w:val="00951662"/>
    <w:rsid w:val="009543D5"/>
    <w:rsid w:val="00956B22"/>
    <w:rsid w:val="009656F3"/>
    <w:rsid w:val="009730EC"/>
    <w:rsid w:val="00975AB4"/>
    <w:rsid w:val="00982F91"/>
    <w:rsid w:val="00983D12"/>
    <w:rsid w:val="0098437C"/>
    <w:rsid w:val="00985690"/>
    <w:rsid w:val="0099195D"/>
    <w:rsid w:val="009920EE"/>
    <w:rsid w:val="00994295"/>
    <w:rsid w:val="0099622A"/>
    <w:rsid w:val="00997742"/>
    <w:rsid w:val="009A39A7"/>
    <w:rsid w:val="009A5422"/>
    <w:rsid w:val="009A687B"/>
    <w:rsid w:val="009B448E"/>
    <w:rsid w:val="009B62A0"/>
    <w:rsid w:val="009C34DD"/>
    <w:rsid w:val="009E0C2C"/>
    <w:rsid w:val="009E3449"/>
    <w:rsid w:val="009F3B3D"/>
    <w:rsid w:val="009F4D3C"/>
    <w:rsid w:val="009F5089"/>
    <w:rsid w:val="009F75C1"/>
    <w:rsid w:val="009F7DF4"/>
    <w:rsid w:val="00A13211"/>
    <w:rsid w:val="00A15DF0"/>
    <w:rsid w:val="00A17C8B"/>
    <w:rsid w:val="00A22F96"/>
    <w:rsid w:val="00A35A70"/>
    <w:rsid w:val="00A40F7C"/>
    <w:rsid w:val="00A41246"/>
    <w:rsid w:val="00A41EBE"/>
    <w:rsid w:val="00A451FA"/>
    <w:rsid w:val="00A45361"/>
    <w:rsid w:val="00A46823"/>
    <w:rsid w:val="00A54699"/>
    <w:rsid w:val="00A62EA0"/>
    <w:rsid w:val="00A66EAF"/>
    <w:rsid w:val="00A67988"/>
    <w:rsid w:val="00A7605B"/>
    <w:rsid w:val="00A81E36"/>
    <w:rsid w:val="00A9247D"/>
    <w:rsid w:val="00A95AEB"/>
    <w:rsid w:val="00AA6AB2"/>
    <w:rsid w:val="00AC04AB"/>
    <w:rsid w:val="00AC7071"/>
    <w:rsid w:val="00AC7911"/>
    <w:rsid w:val="00AF310C"/>
    <w:rsid w:val="00AF4F29"/>
    <w:rsid w:val="00B02584"/>
    <w:rsid w:val="00B123F5"/>
    <w:rsid w:val="00B26F0E"/>
    <w:rsid w:val="00B302ED"/>
    <w:rsid w:val="00B30745"/>
    <w:rsid w:val="00B314B1"/>
    <w:rsid w:val="00B31D80"/>
    <w:rsid w:val="00B42B7A"/>
    <w:rsid w:val="00B53AB5"/>
    <w:rsid w:val="00B55216"/>
    <w:rsid w:val="00B62DE5"/>
    <w:rsid w:val="00B759CC"/>
    <w:rsid w:val="00B76D34"/>
    <w:rsid w:val="00B77ADD"/>
    <w:rsid w:val="00B8442F"/>
    <w:rsid w:val="00B94D8D"/>
    <w:rsid w:val="00B956B6"/>
    <w:rsid w:val="00BC5773"/>
    <w:rsid w:val="00BD289B"/>
    <w:rsid w:val="00BE31B8"/>
    <w:rsid w:val="00BE7685"/>
    <w:rsid w:val="00BF1136"/>
    <w:rsid w:val="00BF3607"/>
    <w:rsid w:val="00BF3A2E"/>
    <w:rsid w:val="00BF460E"/>
    <w:rsid w:val="00BF5C2D"/>
    <w:rsid w:val="00BF5E67"/>
    <w:rsid w:val="00BF6277"/>
    <w:rsid w:val="00C1254D"/>
    <w:rsid w:val="00C149B0"/>
    <w:rsid w:val="00C23028"/>
    <w:rsid w:val="00C23232"/>
    <w:rsid w:val="00C26468"/>
    <w:rsid w:val="00C26609"/>
    <w:rsid w:val="00C302F0"/>
    <w:rsid w:val="00C309E3"/>
    <w:rsid w:val="00C35002"/>
    <w:rsid w:val="00C36C96"/>
    <w:rsid w:val="00C43274"/>
    <w:rsid w:val="00C50F32"/>
    <w:rsid w:val="00C51C73"/>
    <w:rsid w:val="00C52364"/>
    <w:rsid w:val="00C570AC"/>
    <w:rsid w:val="00C601F1"/>
    <w:rsid w:val="00C6312B"/>
    <w:rsid w:val="00C71669"/>
    <w:rsid w:val="00C72123"/>
    <w:rsid w:val="00C74014"/>
    <w:rsid w:val="00C75556"/>
    <w:rsid w:val="00C76FD8"/>
    <w:rsid w:val="00C85E1B"/>
    <w:rsid w:val="00C931E5"/>
    <w:rsid w:val="00CA1C2E"/>
    <w:rsid w:val="00CA5BE3"/>
    <w:rsid w:val="00CA6291"/>
    <w:rsid w:val="00CB0133"/>
    <w:rsid w:val="00CB1D89"/>
    <w:rsid w:val="00CB1E64"/>
    <w:rsid w:val="00CB27D3"/>
    <w:rsid w:val="00CC4353"/>
    <w:rsid w:val="00CD0760"/>
    <w:rsid w:val="00CD47C9"/>
    <w:rsid w:val="00CE0BD8"/>
    <w:rsid w:val="00CE712A"/>
    <w:rsid w:val="00CF5EFD"/>
    <w:rsid w:val="00D0105E"/>
    <w:rsid w:val="00D11AD8"/>
    <w:rsid w:val="00D32150"/>
    <w:rsid w:val="00D32575"/>
    <w:rsid w:val="00D45733"/>
    <w:rsid w:val="00D462F0"/>
    <w:rsid w:val="00D52AB1"/>
    <w:rsid w:val="00D61A94"/>
    <w:rsid w:val="00D61DC8"/>
    <w:rsid w:val="00D64A28"/>
    <w:rsid w:val="00D70A89"/>
    <w:rsid w:val="00D7787D"/>
    <w:rsid w:val="00D83397"/>
    <w:rsid w:val="00D83496"/>
    <w:rsid w:val="00D9033B"/>
    <w:rsid w:val="00D90DA1"/>
    <w:rsid w:val="00D94826"/>
    <w:rsid w:val="00D9513A"/>
    <w:rsid w:val="00D95CFD"/>
    <w:rsid w:val="00DA5087"/>
    <w:rsid w:val="00DA5E4E"/>
    <w:rsid w:val="00DB2A2F"/>
    <w:rsid w:val="00DB3CE0"/>
    <w:rsid w:val="00DC2E86"/>
    <w:rsid w:val="00DD3604"/>
    <w:rsid w:val="00DD379D"/>
    <w:rsid w:val="00DD7598"/>
    <w:rsid w:val="00DD7790"/>
    <w:rsid w:val="00DF386A"/>
    <w:rsid w:val="00DF3ED0"/>
    <w:rsid w:val="00E032BC"/>
    <w:rsid w:val="00E036D2"/>
    <w:rsid w:val="00E0573D"/>
    <w:rsid w:val="00E142A6"/>
    <w:rsid w:val="00E164CD"/>
    <w:rsid w:val="00E2129F"/>
    <w:rsid w:val="00E24C32"/>
    <w:rsid w:val="00E24EC3"/>
    <w:rsid w:val="00E42D3A"/>
    <w:rsid w:val="00E504BF"/>
    <w:rsid w:val="00E525B4"/>
    <w:rsid w:val="00E63D96"/>
    <w:rsid w:val="00E65E3D"/>
    <w:rsid w:val="00E75B83"/>
    <w:rsid w:val="00E81F8D"/>
    <w:rsid w:val="00E82C74"/>
    <w:rsid w:val="00E93B87"/>
    <w:rsid w:val="00E944DD"/>
    <w:rsid w:val="00EA15B4"/>
    <w:rsid w:val="00EA38C8"/>
    <w:rsid w:val="00EB6EC6"/>
    <w:rsid w:val="00EC04B5"/>
    <w:rsid w:val="00EC60A4"/>
    <w:rsid w:val="00EC6AAE"/>
    <w:rsid w:val="00ED2F0D"/>
    <w:rsid w:val="00ED376C"/>
    <w:rsid w:val="00EE1580"/>
    <w:rsid w:val="00EE1D1C"/>
    <w:rsid w:val="00EE2F0A"/>
    <w:rsid w:val="00EE3A1D"/>
    <w:rsid w:val="00EE4834"/>
    <w:rsid w:val="00EE4DAE"/>
    <w:rsid w:val="00EE7C56"/>
    <w:rsid w:val="00EF13A2"/>
    <w:rsid w:val="00F010C8"/>
    <w:rsid w:val="00F0460C"/>
    <w:rsid w:val="00F053FA"/>
    <w:rsid w:val="00F0629C"/>
    <w:rsid w:val="00F0729F"/>
    <w:rsid w:val="00F13389"/>
    <w:rsid w:val="00F2078D"/>
    <w:rsid w:val="00F24D36"/>
    <w:rsid w:val="00F279D8"/>
    <w:rsid w:val="00F36D0E"/>
    <w:rsid w:val="00F4014D"/>
    <w:rsid w:val="00F41558"/>
    <w:rsid w:val="00F41670"/>
    <w:rsid w:val="00F43396"/>
    <w:rsid w:val="00F46398"/>
    <w:rsid w:val="00F544A9"/>
    <w:rsid w:val="00F5468F"/>
    <w:rsid w:val="00F56EF7"/>
    <w:rsid w:val="00F60EE9"/>
    <w:rsid w:val="00F641F8"/>
    <w:rsid w:val="00F65221"/>
    <w:rsid w:val="00F67039"/>
    <w:rsid w:val="00F84AC8"/>
    <w:rsid w:val="00F8791C"/>
    <w:rsid w:val="00F91001"/>
    <w:rsid w:val="00F91055"/>
    <w:rsid w:val="00F92099"/>
    <w:rsid w:val="00F97C3E"/>
    <w:rsid w:val="00FA5B15"/>
    <w:rsid w:val="00FB2361"/>
    <w:rsid w:val="00FB4E07"/>
    <w:rsid w:val="00FB6F6A"/>
    <w:rsid w:val="00FD42A7"/>
    <w:rsid w:val="00FD54DD"/>
    <w:rsid w:val="00FD5E28"/>
    <w:rsid w:val="00FE05BB"/>
    <w:rsid w:val="00FE0617"/>
    <w:rsid w:val="00FE4238"/>
    <w:rsid w:val="00FE4541"/>
    <w:rsid w:val="00F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FE56"/>
  <w15:docId w15:val="{3826927C-59C8-4E7B-A550-7B0F2A06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paragraph" w:styleId="ac">
    <w:name w:val="No Spacing"/>
    <w:uiPriority w:val="1"/>
    <w:qFormat/>
    <w:rsid w:val="005B4ADE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7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5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2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1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29013-E445-408C-9744-CFD86D2E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5635</Words>
  <Characters>3212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24</cp:revision>
  <cp:lastPrinted>2024-05-13T06:09:00Z</cp:lastPrinted>
  <dcterms:created xsi:type="dcterms:W3CDTF">2025-03-04T11:17:00Z</dcterms:created>
  <dcterms:modified xsi:type="dcterms:W3CDTF">2025-07-21T06:56:00Z</dcterms:modified>
</cp:coreProperties>
</file>