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6D3B9D" w:rsidRDefault="00973D1F" w:rsidP="00973D1F">
      <w:pPr>
        <w:ind w:left="4517" w:right="4200"/>
        <w:rPr>
          <w:sz w:val="25"/>
          <w:szCs w:val="25"/>
        </w:rPr>
      </w:pPr>
      <w:r w:rsidRPr="006D3B9D">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6D3B9D" w:rsidRDefault="00973D1F" w:rsidP="00973D1F">
      <w:pPr>
        <w:rPr>
          <w:sz w:val="25"/>
          <w:szCs w:val="25"/>
        </w:rPr>
      </w:pPr>
    </w:p>
    <w:p w14:paraId="32C65CE9" w14:textId="77777777" w:rsidR="00973D1F" w:rsidRPr="006D3B9D" w:rsidRDefault="00973D1F" w:rsidP="00973D1F">
      <w:pPr>
        <w:ind w:right="57"/>
        <w:jc w:val="center"/>
        <w:rPr>
          <w:sz w:val="36"/>
          <w:szCs w:val="36"/>
        </w:rPr>
      </w:pPr>
      <w:r w:rsidRPr="006D3B9D">
        <w:rPr>
          <w:sz w:val="36"/>
          <w:szCs w:val="36"/>
        </w:rPr>
        <w:t>ВИЩА КВАЛІФІКАЦІЙНА КОМІСІЯ СУДДІВ УКРАЇНИ</w:t>
      </w:r>
    </w:p>
    <w:p w14:paraId="7EE7344D" w14:textId="77777777" w:rsidR="00973D1F" w:rsidRPr="006D3B9D" w:rsidRDefault="00973D1F" w:rsidP="00973D1F">
      <w:pPr>
        <w:ind w:right="57"/>
        <w:rPr>
          <w:sz w:val="25"/>
          <w:szCs w:val="25"/>
        </w:rPr>
      </w:pPr>
    </w:p>
    <w:p w14:paraId="06CE7020" w14:textId="6426A4C1" w:rsidR="00973D1F" w:rsidRPr="006D3B9D" w:rsidRDefault="006456FD" w:rsidP="00973D1F">
      <w:pPr>
        <w:shd w:val="clear" w:color="auto" w:fill="FFFFFF"/>
        <w:jc w:val="both"/>
        <w:rPr>
          <w:sz w:val="25"/>
          <w:szCs w:val="25"/>
        </w:rPr>
      </w:pPr>
      <w:r w:rsidRPr="006D3B9D">
        <w:rPr>
          <w:sz w:val="25"/>
          <w:szCs w:val="25"/>
        </w:rPr>
        <w:t>07</w:t>
      </w:r>
      <w:r w:rsidR="00973D1F" w:rsidRPr="006D3B9D">
        <w:rPr>
          <w:sz w:val="25"/>
          <w:szCs w:val="25"/>
        </w:rPr>
        <w:t xml:space="preserve"> </w:t>
      </w:r>
      <w:r w:rsidRPr="006D3B9D">
        <w:rPr>
          <w:sz w:val="25"/>
          <w:szCs w:val="25"/>
        </w:rPr>
        <w:t>серпня</w:t>
      </w:r>
      <w:r w:rsidR="00973D1F" w:rsidRPr="006D3B9D">
        <w:rPr>
          <w:sz w:val="25"/>
          <w:szCs w:val="25"/>
        </w:rPr>
        <w:t xml:space="preserve"> 202</w:t>
      </w:r>
      <w:r w:rsidR="00C05B53" w:rsidRPr="006D3B9D">
        <w:rPr>
          <w:sz w:val="25"/>
          <w:szCs w:val="25"/>
        </w:rPr>
        <w:t>5</w:t>
      </w:r>
      <w:r w:rsidR="00973D1F" w:rsidRPr="006D3B9D">
        <w:rPr>
          <w:sz w:val="25"/>
          <w:szCs w:val="25"/>
        </w:rPr>
        <w:t xml:space="preserve"> року</w:t>
      </w:r>
      <w:r w:rsidR="00973D1F" w:rsidRPr="006D3B9D">
        <w:rPr>
          <w:sz w:val="25"/>
          <w:szCs w:val="25"/>
        </w:rPr>
        <w:tab/>
      </w:r>
      <w:r w:rsidR="007E0F0D" w:rsidRPr="006D3B9D">
        <w:rPr>
          <w:sz w:val="25"/>
          <w:szCs w:val="25"/>
        </w:rPr>
        <w:tab/>
      </w:r>
      <w:r w:rsidR="007E0F0D" w:rsidRPr="006D3B9D">
        <w:rPr>
          <w:sz w:val="25"/>
          <w:szCs w:val="25"/>
        </w:rPr>
        <w:tab/>
      </w:r>
      <w:r w:rsidR="0083226E" w:rsidRPr="006D3B9D">
        <w:rPr>
          <w:sz w:val="25"/>
          <w:szCs w:val="25"/>
        </w:rPr>
        <w:tab/>
      </w:r>
      <w:r w:rsidR="0083226E" w:rsidRPr="006D3B9D">
        <w:rPr>
          <w:sz w:val="25"/>
          <w:szCs w:val="25"/>
        </w:rPr>
        <w:tab/>
      </w:r>
      <w:r w:rsidR="00973D1F" w:rsidRPr="006D3B9D">
        <w:rPr>
          <w:sz w:val="25"/>
          <w:szCs w:val="25"/>
        </w:rPr>
        <w:tab/>
      </w:r>
      <w:r w:rsidR="00684CE9" w:rsidRPr="006D3B9D">
        <w:rPr>
          <w:sz w:val="25"/>
          <w:szCs w:val="25"/>
        </w:rPr>
        <w:tab/>
      </w:r>
      <w:r w:rsidR="00684CE9" w:rsidRPr="006D3B9D">
        <w:rPr>
          <w:sz w:val="25"/>
          <w:szCs w:val="25"/>
        </w:rPr>
        <w:tab/>
      </w:r>
      <w:r w:rsidR="007E0F0D" w:rsidRPr="006D3B9D">
        <w:rPr>
          <w:sz w:val="25"/>
          <w:szCs w:val="25"/>
        </w:rPr>
        <w:tab/>
      </w:r>
      <w:r w:rsidR="00973D1F" w:rsidRPr="006D3B9D">
        <w:rPr>
          <w:sz w:val="25"/>
          <w:szCs w:val="25"/>
        </w:rPr>
        <w:t xml:space="preserve"> </w:t>
      </w:r>
      <w:r w:rsidR="009116A6" w:rsidRPr="006D3B9D">
        <w:rPr>
          <w:sz w:val="25"/>
          <w:szCs w:val="25"/>
        </w:rPr>
        <w:t xml:space="preserve">   </w:t>
      </w:r>
      <w:r w:rsidR="00B1320B" w:rsidRPr="006D3B9D">
        <w:rPr>
          <w:sz w:val="25"/>
          <w:szCs w:val="25"/>
        </w:rPr>
        <w:t xml:space="preserve"> </w:t>
      </w:r>
      <w:r w:rsidR="009116A6" w:rsidRPr="006D3B9D">
        <w:rPr>
          <w:sz w:val="25"/>
          <w:szCs w:val="25"/>
        </w:rPr>
        <w:t xml:space="preserve"> </w:t>
      </w:r>
      <w:r w:rsidR="00973D1F" w:rsidRPr="006D3B9D">
        <w:rPr>
          <w:sz w:val="25"/>
          <w:szCs w:val="25"/>
        </w:rPr>
        <w:t>м. Київ</w:t>
      </w:r>
    </w:p>
    <w:p w14:paraId="38B042BC" w14:textId="77777777" w:rsidR="00973D1F" w:rsidRPr="006D3B9D" w:rsidRDefault="00973D1F" w:rsidP="00973D1F">
      <w:pPr>
        <w:shd w:val="clear" w:color="auto" w:fill="FFFFFF"/>
        <w:jc w:val="both"/>
        <w:rPr>
          <w:sz w:val="25"/>
          <w:szCs w:val="25"/>
        </w:rPr>
      </w:pPr>
    </w:p>
    <w:p w14:paraId="5CFCE83B" w14:textId="1F4487BC" w:rsidR="00973D1F" w:rsidRPr="006D3B9D" w:rsidRDefault="00973D1F" w:rsidP="00973D1F">
      <w:pPr>
        <w:shd w:val="clear" w:color="auto" w:fill="FFFFFF"/>
        <w:ind w:right="134"/>
        <w:jc w:val="center"/>
        <w:rPr>
          <w:sz w:val="25"/>
          <w:szCs w:val="25"/>
          <w:u w:val="single"/>
        </w:rPr>
      </w:pPr>
      <w:r w:rsidRPr="006D3B9D">
        <w:rPr>
          <w:sz w:val="25"/>
          <w:szCs w:val="25"/>
        </w:rPr>
        <w:t xml:space="preserve">Р І Ш Е Н </w:t>
      </w:r>
      <w:proofErr w:type="spellStart"/>
      <w:r w:rsidRPr="006D3B9D">
        <w:rPr>
          <w:sz w:val="25"/>
          <w:szCs w:val="25"/>
        </w:rPr>
        <w:t>Н</w:t>
      </w:r>
      <w:proofErr w:type="spellEnd"/>
      <w:r w:rsidRPr="006D3B9D">
        <w:rPr>
          <w:sz w:val="25"/>
          <w:szCs w:val="25"/>
        </w:rPr>
        <w:t xml:space="preserve"> Я  № </w:t>
      </w:r>
      <w:r w:rsidR="006D3B9D">
        <w:rPr>
          <w:sz w:val="25"/>
          <w:szCs w:val="25"/>
          <w:u w:val="single"/>
        </w:rPr>
        <w:t>265/ас-25</w:t>
      </w:r>
    </w:p>
    <w:p w14:paraId="6D6619A4" w14:textId="77777777" w:rsidR="00973D1F" w:rsidRPr="006D3B9D" w:rsidRDefault="00973D1F" w:rsidP="00973D1F">
      <w:pPr>
        <w:shd w:val="clear" w:color="auto" w:fill="FFFFFF"/>
        <w:tabs>
          <w:tab w:val="left" w:pos="567"/>
        </w:tabs>
        <w:ind w:right="-1"/>
        <w:jc w:val="both"/>
        <w:rPr>
          <w:sz w:val="25"/>
          <w:szCs w:val="25"/>
        </w:rPr>
      </w:pPr>
    </w:p>
    <w:p w14:paraId="00F28C3D" w14:textId="2D2FCFE6" w:rsidR="00973D1F" w:rsidRPr="006D3B9D" w:rsidRDefault="00973D1F" w:rsidP="00973D1F">
      <w:pPr>
        <w:shd w:val="clear" w:color="auto" w:fill="FFFFFF"/>
        <w:tabs>
          <w:tab w:val="left" w:pos="567"/>
        </w:tabs>
        <w:ind w:right="-1"/>
        <w:jc w:val="both"/>
        <w:rPr>
          <w:sz w:val="25"/>
          <w:szCs w:val="25"/>
        </w:rPr>
      </w:pPr>
      <w:r w:rsidRPr="006D3B9D">
        <w:rPr>
          <w:sz w:val="25"/>
          <w:szCs w:val="25"/>
        </w:rPr>
        <w:t xml:space="preserve">Вища кваліфікаційна комісія суддів України у складі </w:t>
      </w:r>
      <w:r w:rsidR="000101B3" w:rsidRPr="006D3B9D">
        <w:rPr>
          <w:sz w:val="25"/>
          <w:szCs w:val="25"/>
        </w:rPr>
        <w:t>колегії №</w:t>
      </w:r>
      <w:r w:rsidR="00DA1AD8" w:rsidRPr="006D3B9D">
        <w:rPr>
          <w:sz w:val="25"/>
          <w:szCs w:val="25"/>
        </w:rPr>
        <w:t xml:space="preserve"> </w:t>
      </w:r>
      <w:r w:rsidR="000101B3" w:rsidRPr="006D3B9D">
        <w:rPr>
          <w:sz w:val="25"/>
          <w:szCs w:val="25"/>
        </w:rPr>
        <w:t>3</w:t>
      </w:r>
      <w:r w:rsidRPr="006D3B9D">
        <w:rPr>
          <w:sz w:val="25"/>
          <w:szCs w:val="25"/>
        </w:rPr>
        <w:t>:</w:t>
      </w:r>
    </w:p>
    <w:p w14:paraId="73FAA3C0" w14:textId="77777777" w:rsidR="00973D1F" w:rsidRPr="006D3B9D" w:rsidRDefault="00973D1F" w:rsidP="00973D1F">
      <w:pPr>
        <w:shd w:val="clear" w:color="auto" w:fill="FFFFFF"/>
        <w:ind w:right="134"/>
        <w:jc w:val="both"/>
        <w:rPr>
          <w:sz w:val="25"/>
          <w:szCs w:val="25"/>
        </w:rPr>
      </w:pPr>
    </w:p>
    <w:p w14:paraId="7168E14D" w14:textId="33B12328" w:rsidR="00973D1F" w:rsidRPr="006D3B9D" w:rsidRDefault="00973D1F" w:rsidP="00973D1F">
      <w:pPr>
        <w:shd w:val="clear" w:color="auto" w:fill="FFFFFF"/>
        <w:ind w:right="-1"/>
        <w:jc w:val="both"/>
        <w:rPr>
          <w:sz w:val="25"/>
          <w:szCs w:val="25"/>
        </w:rPr>
      </w:pPr>
      <w:r w:rsidRPr="006D3B9D">
        <w:rPr>
          <w:sz w:val="25"/>
          <w:szCs w:val="25"/>
        </w:rPr>
        <w:t xml:space="preserve">головуючого – </w:t>
      </w:r>
      <w:r w:rsidR="000101B3" w:rsidRPr="006D3B9D">
        <w:rPr>
          <w:sz w:val="25"/>
          <w:szCs w:val="25"/>
        </w:rPr>
        <w:t>Сергія ЧУМАКА</w:t>
      </w:r>
      <w:r w:rsidRPr="006D3B9D">
        <w:rPr>
          <w:sz w:val="25"/>
          <w:szCs w:val="25"/>
        </w:rPr>
        <w:t>,</w:t>
      </w:r>
    </w:p>
    <w:p w14:paraId="5F984992" w14:textId="77777777" w:rsidR="00973D1F" w:rsidRPr="006D3B9D" w:rsidRDefault="00973D1F" w:rsidP="00973D1F">
      <w:pPr>
        <w:shd w:val="clear" w:color="auto" w:fill="FFFFFF"/>
        <w:tabs>
          <w:tab w:val="left" w:pos="3969"/>
        </w:tabs>
        <w:ind w:right="-15"/>
        <w:jc w:val="both"/>
        <w:rPr>
          <w:sz w:val="25"/>
          <w:szCs w:val="25"/>
        </w:rPr>
      </w:pPr>
    </w:p>
    <w:p w14:paraId="704B56F4" w14:textId="64A9108B" w:rsidR="00973D1F" w:rsidRPr="006D3B9D" w:rsidRDefault="00973D1F" w:rsidP="00973D1F">
      <w:pPr>
        <w:shd w:val="clear" w:color="auto" w:fill="FFFFFF"/>
        <w:tabs>
          <w:tab w:val="left" w:pos="3969"/>
        </w:tabs>
        <w:ind w:right="-15"/>
        <w:jc w:val="both"/>
        <w:rPr>
          <w:sz w:val="25"/>
          <w:szCs w:val="25"/>
        </w:rPr>
      </w:pPr>
      <w:r w:rsidRPr="006D3B9D">
        <w:rPr>
          <w:sz w:val="25"/>
          <w:szCs w:val="25"/>
        </w:rPr>
        <w:t xml:space="preserve">членів Комісії: </w:t>
      </w:r>
      <w:r w:rsidR="000101B3" w:rsidRPr="006D3B9D">
        <w:rPr>
          <w:sz w:val="25"/>
          <w:szCs w:val="25"/>
        </w:rPr>
        <w:t xml:space="preserve">Андрія ПАСІЧНИКА, </w:t>
      </w:r>
      <w:r w:rsidRPr="006D3B9D">
        <w:rPr>
          <w:sz w:val="25"/>
          <w:szCs w:val="25"/>
        </w:rPr>
        <w:t>Романа</w:t>
      </w:r>
      <w:r w:rsidR="00891FF6" w:rsidRPr="006D3B9D">
        <w:rPr>
          <w:sz w:val="25"/>
          <w:szCs w:val="25"/>
        </w:rPr>
        <w:t> </w:t>
      </w:r>
      <w:r w:rsidRPr="006D3B9D">
        <w:rPr>
          <w:sz w:val="25"/>
          <w:szCs w:val="25"/>
        </w:rPr>
        <w:t>САБОДАША (доповідач)</w:t>
      </w:r>
      <w:r w:rsidR="00FD4135" w:rsidRPr="006D3B9D">
        <w:rPr>
          <w:sz w:val="25"/>
          <w:szCs w:val="25"/>
        </w:rPr>
        <w:t>,</w:t>
      </w:r>
    </w:p>
    <w:p w14:paraId="1553C495" w14:textId="77777777" w:rsidR="00973D1F" w:rsidRPr="006D3B9D" w:rsidRDefault="00973D1F" w:rsidP="00973D1F">
      <w:pPr>
        <w:shd w:val="clear" w:color="auto" w:fill="FFFFFF"/>
        <w:tabs>
          <w:tab w:val="left" w:pos="3969"/>
        </w:tabs>
        <w:ind w:right="-15"/>
        <w:jc w:val="both"/>
        <w:rPr>
          <w:sz w:val="25"/>
          <w:szCs w:val="25"/>
        </w:rPr>
      </w:pPr>
    </w:p>
    <w:p w14:paraId="49A93802" w14:textId="77777777" w:rsidR="00973D1F" w:rsidRPr="006D3B9D" w:rsidRDefault="00973D1F" w:rsidP="00937D89">
      <w:pPr>
        <w:shd w:val="clear" w:color="auto" w:fill="FFFFFF"/>
        <w:tabs>
          <w:tab w:val="left" w:pos="3969"/>
        </w:tabs>
        <w:ind w:right="-15"/>
        <w:jc w:val="both"/>
        <w:rPr>
          <w:sz w:val="25"/>
          <w:szCs w:val="25"/>
        </w:rPr>
      </w:pPr>
      <w:r w:rsidRPr="006D3B9D">
        <w:rPr>
          <w:sz w:val="25"/>
          <w:szCs w:val="25"/>
        </w:rPr>
        <w:t xml:space="preserve">за участі: </w:t>
      </w:r>
    </w:p>
    <w:p w14:paraId="7BD6812F" w14:textId="77777777" w:rsidR="00973D1F" w:rsidRPr="006D3B9D" w:rsidRDefault="00973D1F" w:rsidP="00937D89">
      <w:pPr>
        <w:shd w:val="clear" w:color="auto" w:fill="FFFFFF"/>
        <w:tabs>
          <w:tab w:val="left" w:pos="3969"/>
        </w:tabs>
        <w:ind w:right="-15"/>
        <w:jc w:val="both"/>
        <w:rPr>
          <w:sz w:val="25"/>
          <w:szCs w:val="25"/>
        </w:rPr>
      </w:pPr>
    </w:p>
    <w:p w14:paraId="6F26EDD2" w14:textId="03EDFFEC" w:rsidR="00973D1F" w:rsidRPr="006D3B9D" w:rsidRDefault="00973D1F" w:rsidP="00937D89">
      <w:pPr>
        <w:shd w:val="clear" w:color="auto" w:fill="FFFFFF"/>
        <w:tabs>
          <w:tab w:val="left" w:pos="3969"/>
        </w:tabs>
        <w:ind w:right="-15"/>
        <w:jc w:val="both"/>
        <w:rPr>
          <w:sz w:val="25"/>
          <w:szCs w:val="25"/>
        </w:rPr>
      </w:pPr>
      <w:r w:rsidRPr="006D3B9D">
        <w:rPr>
          <w:sz w:val="25"/>
          <w:szCs w:val="25"/>
        </w:rPr>
        <w:t xml:space="preserve">кандидата на посаду судді апеляційного </w:t>
      </w:r>
      <w:r w:rsidR="00DA1AD8" w:rsidRPr="006D3B9D">
        <w:rPr>
          <w:sz w:val="25"/>
          <w:szCs w:val="25"/>
        </w:rPr>
        <w:t>загального</w:t>
      </w:r>
      <w:r w:rsidRPr="006D3B9D">
        <w:rPr>
          <w:sz w:val="25"/>
          <w:szCs w:val="25"/>
        </w:rPr>
        <w:t xml:space="preserve"> суду </w:t>
      </w:r>
      <w:r w:rsidR="00CC2DA9" w:rsidRPr="006D3B9D">
        <w:rPr>
          <w:sz w:val="25"/>
          <w:szCs w:val="25"/>
        </w:rPr>
        <w:t>Оксани</w:t>
      </w:r>
      <w:r w:rsidRPr="006D3B9D">
        <w:rPr>
          <w:sz w:val="25"/>
          <w:szCs w:val="25"/>
        </w:rPr>
        <w:t xml:space="preserve"> </w:t>
      </w:r>
      <w:r w:rsidR="00CC2DA9" w:rsidRPr="006D3B9D">
        <w:rPr>
          <w:sz w:val="25"/>
          <w:szCs w:val="25"/>
        </w:rPr>
        <w:t>КОСОГОР</w:t>
      </w:r>
      <w:r w:rsidRPr="006D3B9D">
        <w:rPr>
          <w:sz w:val="25"/>
          <w:szCs w:val="25"/>
        </w:rPr>
        <w:t>,</w:t>
      </w:r>
    </w:p>
    <w:p w14:paraId="18324AE3" w14:textId="77777777" w:rsidR="005127A5" w:rsidRPr="006D3B9D" w:rsidRDefault="005127A5" w:rsidP="00937D89">
      <w:pPr>
        <w:shd w:val="clear" w:color="auto" w:fill="FFFFFF"/>
        <w:tabs>
          <w:tab w:val="left" w:pos="3969"/>
        </w:tabs>
        <w:ind w:right="-15"/>
        <w:jc w:val="both"/>
        <w:rPr>
          <w:sz w:val="25"/>
          <w:szCs w:val="25"/>
        </w:rPr>
      </w:pPr>
    </w:p>
    <w:p w14:paraId="1AE4438C" w14:textId="7165A5E2" w:rsidR="005127A5" w:rsidRPr="006D3B9D" w:rsidRDefault="005127A5" w:rsidP="005127A5">
      <w:pPr>
        <w:rPr>
          <w:sz w:val="25"/>
          <w:szCs w:val="25"/>
        </w:rPr>
      </w:pPr>
      <w:r w:rsidRPr="006D3B9D">
        <w:rPr>
          <w:sz w:val="25"/>
          <w:szCs w:val="25"/>
        </w:rPr>
        <w:t>представника Громадської ради доброчесності Едуарда МЄЛКИХ,</w:t>
      </w:r>
    </w:p>
    <w:p w14:paraId="779B1AF5" w14:textId="58760A9A" w:rsidR="00B14E2C" w:rsidRPr="006D3B9D" w:rsidRDefault="00B14E2C" w:rsidP="00937D89">
      <w:pPr>
        <w:shd w:val="clear" w:color="auto" w:fill="FFFFFF"/>
        <w:tabs>
          <w:tab w:val="left" w:pos="3969"/>
        </w:tabs>
        <w:ind w:right="-15"/>
        <w:jc w:val="both"/>
        <w:rPr>
          <w:sz w:val="25"/>
          <w:szCs w:val="25"/>
        </w:rPr>
      </w:pPr>
    </w:p>
    <w:p w14:paraId="4E23F04C" w14:textId="20DAC617" w:rsidR="00BF074F" w:rsidRPr="006D3B9D" w:rsidRDefault="00BF074F" w:rsidP="00BF074F">
      <w:pPr>
        <w:shd w:val="clear" w:color="auto" w:fill="FFFFFF"/>
        <w:tabs>
          <w:tab w:val="left" w:pos="3969"/>
        </w:tabs>
        <w:spacing w:line="276" w:lineRule="auto"/>
        <w:ind w:right="-15"/>
        <w:jc w:val="both"/>
        <w:rPr>
          <w:sz w:val="25"/>
          <w:szCs w:val="25"/>
        </w:rPr>
      </w:pPr>
      <w:r w:rsidRPr="006D3B9D">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6D3B9D">
        <w:rPr>
          <w:sz w:val="25"/>
          <w:szCs w:val="25"/>
        </w:rPr>
        <w:t>Косогор</w:t>
      </w:r>
      <w:proofErr w:type="spellEnd"/>
      <w:r w:rsidRPr="006D3B9D">
        <w:rPr>
          <w:sz w:val="25"/>
          <w:szCs w:val="25"/>
        </w:rPr>
        <w:t xml:space="preserve"> Оксани Миколаївни в межах конкурсу, оголошеного рішенням Комісії від 14 вересня 2023 року № 94/зп-23 (зі змінами),</w:t>
      </w:r>
    </w:p>
    <w:p w14:paraId="35B3A162" w14:textId="77777777" w:rsidR="00973D1F" w:rsidRPr="006D3B9D" w:rsidRDefault="00973D1F" w:rsidP="00973D1F">
      <w:pPr>
        <w:shd w:val="clear" w:color="auto" w:fill="FFFFFF"/>
        <w:tabs>
          <w:tab w:val="left" w:pos="7300"/>
        </w:tabs>
        <w:jc w:val="both"/>
        <w:rPr>
          <w:sz w:val="25"/>
          <w:szCs w:val="25"/>
        </w:rPr>
      </w:pPr>
    </w:p>
    <w:p w14:paraId="47430CE2" w14:textId="77777777" w:rsidR="00973D1F" w:rsidRPr="006D3B9D" w:rsidRDefault="00973D1F" w:rsidP="00973D1F">
      <w:pPr>
        <w:shd w:val="clear" w:color="auto" w:fill="FFFFFF"/>
        <w:tabs>
          <w:tab w:val="left" w:pos="3969"/>
        </w:tabs>
        <w:ind w:right="-15"/>
        <w:jc w:val="center"/>
        <w:rPr>
          <w:sz w:val="25"/>
          <w:szCs w:val="25"/>
        </w:rPr>
      </w:pPr>
      <w:r w:rsidRPr="006D3B9D">
        <w:rPr>
          <w:sz w:val="25"/>
          <w:szCs w:val="25"/>
        </w:rPr>
        <w:t>встановила:</w:t>
      </w:r>
    </w:p>
    <w:p w14:paraId="27F34F25" w14:textId="77777777" w:rsidR="00E472B1" w:rsidRPr="006D3B9D" w:rsidRDefault="00E472B1">
      <w:pPr>
        <w:rPr>
          <w:sz w:val="25"/>
          <w:szCs w:val="25"/>
        </w:rPr>
      </w:pPr>
    </w:p>
    <w:p w14:paraId="50E9FBE6" w14:textId="630BC825" w:rsidR="00684CE9" w:rsidRPr="006D3B9D" w:rsidRDefault="00684CE9" w:rsidP="00684CE9">
      <w:pPr>
        <w:jc w:val="both"/>
        <w:rPr>
          <w:b/>
          <w:sz w:val="25"/>
          <w:szCs w:val="25"/>
        </w:rPr>
      </w:pPr>
      <w:r w:rsidRPr="006D3B9D">
        <w:rPr>
          <w:b/>
          <w:sz w:val="25"/>
          <w:szCs w:val="25"/>
        </w:rPr>
        <w:t xml:space="preserve">І. Стислий виклад </w:t>
      </w:r>
      <w:r w:rsidR="00C22273" w:rsidRPr="006D3B9D">
        <w:rPr>
          <w:b/>
          <w:sz w:val="25"/>
          <w:szCs w:val="25"/>
        </w:rPr>
        <w:t>підстав і порядку проведення конкурсу на посад</w:t>
      </w:r>
      <w:r w:rsidR="005217B1" w:rsidRPr="006D3B9D">
        <w:rPr>
          <w:b/>
          <w:sz w:val="25"/>
          <w:szCs w:val="25"/>
        </w:rPr>
        <w:t>и</w:t>
      </w:r>
      <w:r w:rsidR="00C22273" w:rsidRPr="006D3B9D">
        <w:rPr>
          <w:b/>
          <w:sz w:val="25"/>
          <w:szCs w:val="25"/>
        </w:rPr>
        <w:t xml:space="preserve"> суддів апеляційних адміністративних судів та </w:t>
      </w:r>
      <w:r w:rsidR="007C75A5" w:rsidRPr="006D3B9D">
        <w:rPr>
          <w:b/>
          <w:sz w:val="25"/>
          <w:szCs w:val="25"/>
        </w:rPr>
        <w:t>процедури</w:t>
      </w:r>
      <w:r w:rsidRPr="006D3B9D">
        <w:rPr>
          <w:b/>
          <w:sz w:val="25"/>
          <w:szCs w:val="25"/>
        </w:rPr>
        <w:t xml:space="preserve"> кваліфікаційного оцінювання</w:t>
      </w:r>
      <w:r w:rsidR="00C22273" w:rsidRPr="006D3B9D">
        <w:rPr>
          <w:b/>
          <w:sz w:val="25"/>
          <w:szCs w:val="25"/>
        </w:rPr>
        <w:t xml:space="preserve"> кандидата</w:t>
      </w:r>
      <w:r w:rsidRPr="006D3B9D">
        <w:rPr>
          <w:b/>
          <w:sz w:val="25"/>
          <w:szCs w:val="25"/>
        </w:rPr>
        <w:t>.</w:t>
      </w:r>
    </w:p>
    <w:p w14:paraId="3C5BB276" w14:textId="566345F3" w:rsidR="00684CE9" w:rsidRPr="006D3B9D" w:rsidRDefault="00684CE9" w:rsidP="00684CE9">
      <w:pPr>
        <w:jc w:val="both"/>
        <w:rPr>
          <w:sz w:val="25"/>
          <w:szCs w:val="25"/>
        </w:rPr>
      </w:pPr>
    </w:p>
    <w:p w14:paraId="7D79676C" w14:textId="68EDA034" w:rsidR="0068188B" w:rsidRPr="006D3B9D"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Статтею 79 Закону України «Про судоустрій і статус суддів»</w:t>
      </w:r>
      <w:r w:rsidR="00492189" w:rsidRPr="006D3B9D">
        <w:rPr>
          <w:sz w:val="25"/>
          <w:szCs w:val="25"/>
        </w:rPr>
        <w:t xml:space="preserve"> (далі – Закон)</w:t>
      </w:r>
      <w:r w:rsidRPr="006D3B9D">
        <w:rPr>
          <w:sz w:val="25"/>
          <w:szCs w:val="25"/>
        </w:rPr>
        <w:t xml:space="preserve"> установлено, що </w:t>
      </w:r>
      <w:r w:rsidR="00351CD4" w:rsidRPr="006D3B9D">
        <w:rPr>
          <w:sz w:val="25"/>
          <w:szCs w:val="25"/>
        </w:rPr>
        <w:t>к</w:t>
      </w:r>
      <w:r w:rsidRPr="006D3B9D">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17F25E91" w14:textId="77777777" w:rsidR="006D3B9D" w:rsidRDefault="0068188B" w:rsidP="006D3B9D">
      <w:pPr>
        <w:pStyle w:val="a9"/>
        <w:numPr>
          <w:ilvl w:val="0"/>
          <w:numId w:val="8"/>
        </w:numPr>
        <w:shd w:val="clear" w:color="auto" w:fill="FFFFFF"/>
        <w:tabs>
          <w:tab w:val="left" w:pos="426"/>
        </w:tabs>
        <w:spacing w:line="276" w:lineRule="auto"/>
        <w:ind w:left="0" w:firstLine="709"/>
        <w:jc w:val="both"/>
        <w:rPr>
          <w:sz w:val="25"/>
          <w:szCs w:val="25"/>
        </w:rPr>
      </w:pPr>
      <w:r w:rsidRPr="006D3B9D">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6D3B9D">
        <w:rPr>
          <w:sz w:val="25"/>
          <w:szCs w:val="25"/>
        </w:rPr>
        <w:t>их</w:t>
      </w:r>
      <w:r w:rsidRPr="006D3B9D">
        <w:rPr>
          <w:sz w:val="25"/>
          <w:szCs w:val="25"/>
        </w:rPr>
        <w:t xml:space="preserve"> посад судді</w:t>
      </w:r>
      <w:r w:rsidR="006B56CF" w:rsidRPr="006D3B9D">
        <w:rPr>
          <w:sz w:val="25"/>
          <w:szCs w:val="25"/>
        </w:rPr>
        <w:t>в</w:t>
      </w:r>
      <w:r w:rsidRPr="006D3B9D">
        <w:rPr>
          <w:sz w:val="25"/>
          <w:szCs w:val="25"/>
        </w:rPr>
        <w:t xml:space="preserve"> місцево</w:t>
      </w:r>
      <w:r w:rsidR="006B56CF" w:rsidRPr="006D3B9D">
        <w:rPr>
          <w:sz w:val="25"/>
          <w:szCs w:val="25"/>
        </w:rPr>
        <w:t>го</w:t>
      </w:r>
      <w:r w:rsidRPr="006D3B9D">
        <w:rPr>
          <w:sz w:val="25"/>
          <w:szCs w:val="25"/>
        </w:rPr>
        <w:t>, апеляційно</w:t>
      </w:r>
      <w:r w:rsidR="006B56CF" w:rsidRPr="006D3B9D">
        <w:rPr>
          <w:sz w:val="25"/>
          <w:szCs w:val="25"/>
        </w:rPr>
        <w:t>го</w:t>
      </w:r>
      <w:r w:rsidRPr="006D3B9D">
        <w:rPr>
          <w:sz w:val="25"/>
          <w:szCs w:val="25"/>
        </w:rPr>
        <w:t>, вищо</w:t>
      </w:r>
      <w:r w:rsidR="006B56CF" w:rsidRPr="006D3B9D">
        <w:rPr>
          <w:sz w:val="25"/>
          <w:szCs w:val="25"/>
        </w:rPr>
        <w:t>го</w:t>
      </w:r>
      <w:r w:rsidRPr="006D3B9D">
        <w:rPr>
          <w:sz w:val="25"/>
          <w:szCs w:val="25"/>
        </w:rPr>
        <w:t xml:space="preserve"> спеціалізовано</w:t>
      </w:r>
      <w:r w:rsidR="006B56CF" w:rsidRPr="006D3B9D">
        <w:rPr>
          <w:sz w:val="25"/>
          <w:szCs w:val="25"/>
        </w:rPr>
        <w:t>го</w:t>
      </w:r>
      <w:r w:rsidRPr="006D3B9D">
        <w:rPr>
          <w:sz w:val="25"/>
          <w:szCs w:val="25"/>
        </w:rPr>
        <w:t xml:space="preserve"> суд</w:t>
      </w:r>
      <w:r w:rsidR="006B56CF" w:rsidRPr="006D3B9D">
        <w:rPr>
          <w:sz w:val="25"/>
          <w:szCs w:val="25"/>
        </w:rPr>
        <w:t>у</w:t>
      </w:r>
      <w:r w:rsidRPr="006D3B9D">
        <w:rPr>
          <w:sz w:val="25"/>
          <w:szCs w:val="25"/>
        </w:rPr>
        <w:t xml:space="preserve"> або</w:t>
      </w:r>
      <w:r w:rsidR="006B56CF" w:rsidRPr="006D3B9D">
        <w:rPr>
          <w:sz w:val="25"/>
          <w:szCs w:val="25"/>
        </w:rPr>
        <w:t xml:space="preserve"> суддів</w:t>
      </w:r>
      <w:r w:rsidRPr="006D3B9D">
        <w:rPr>
          <w:sz w:val="25"/>
          <w:szCs w:val="25"/>
        </w:rPr>
        <w:t xml:space="preserve"> Верховно</w:t>
      </w:r>
      <w:r w:rsidR="006B56CF" w:rsidRPr="006D3B9D">
        <w:rPr>
          <w:sz w:val="25"/>
          <w:szCs w:val="25"/>
        </w:rPr>
        <w:t>го</w:t>
      </w:r>
      <w:r w:rsidRPr="006D3B9D">
        <w:rPr>
          <w:sz w:val="25"/>
          <w:szCs w:val="25"/>
        </w:rPr>
        <w:t xml:space="preserve"> Суд</w:t>
      </w:r>
      <w:r w:rsidR="006B56CF" w:rsidRPr="006D3B9D">
        <w:rPr>
          <w:sz w:val="25"/>
          <w:szCs w:val="25"/>
        </w:rPr>
        <w:t>у</w:t>
      </w:r>
      <w:r w:rsidRPr="006D3B9D">
        <w:rPr>
          <w:sz w:val="25"/>
          <w:szCs w:val="25"/>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6D3B9D">
        <w:rPr>
          <w:sz w:val="25"/>
          <w:szCs w:val="25"/>
        </w:rPr>
        <w:t>м</w:t>
      </w:r>
      <w:r w:rsidRPr="006D3B9D">
        <w:rPr>
          <w:sz w:val="25"/>
          <w:szCs w:val="25"/>
        </w:rPr>
        <w:t xml:space="preserve"> Вищої кваліфікаційної комісії суддів України </w:t>
      </w:r>
      <w:r w:rsidR="005217B1" w:rsidRPr="006D3B9D">
        <w:rPr>
          <w:sz w:val="25"/>
          <w:szCs w:val="25"/>
        </w:rPr>
        <w:t xml:space="preserve">від </w:t>
      </w:r>
      <w:r w:rsidRPr="006D3B9D">
        <w:rPr>
          <w:sz w:val="25"/>
          <w:szCs w:val="25"/>
        </w:rPr>
        <w:t xml:space="preserve">02 листопада 2016 року </w:t>
      </w:r>
      <w:r w:rsidR="00492189" w:rsidRPr="006D3B9D">
        <w:rPr>
          <w:sz w:val="25"/>
          <w:szCs w:val="25"/>
        </w:rPr>
        <w:t>№</w:t>
      </w:r>
      <w:r w:rsidRPr="006D3B9D">
        <w:rPr>
          <w:sz w:val="25"/>
          <w:szCs w:val="25"/>
        </w:rPr>
        <w:t xml:space="preserve"> 141/зп-16 (у редакції рішення Вищої </w:t>
      </w:r>
      <w:r w:rsidRPr="006D3B9D">
        <w:rPr>
          <w:sz w:val="25"/>
          <w:szCs w:val="25"/>
        </w:rPr>
        <w:lastRenderedPageBreak/>
        <w:t xml:space="preserve">кваліфікаційної комісії суддів України від 29 лютого 2024 року </w:t>
      </w:r>
      <w:r w:rsidR="00492189" w:rsidRPr="006D3B9D">
        <w:rPr>
          <w:sz w:val="25"/>
          <w:szCs w:val="25"/>
        </w:rPr>
        <w:t>№</w:t>
      </w:r>
      <w:r w:rsidR="005217B1" w:rsidRPr="006D3B9D">
        <w:rPr>
          <w:sz w:val="25"/>
          <w:szCs w:val="25"/>
        </w:rPr>
        <w:t xml:space="preserve"> </w:t>
      </w:r>
      <w:r w:rsidRPr="006D3B9D">
        <w:rPr>
          <w:sz w:val="25"/>
          <w:szCs w:val="25"/>
        </w:rPr>
        <w:t>72/зп-24)</w:t>
      </w:r>
      <w:r w:rsidR="00351CD4" w:rsidRPr="006D3B9D">
        <w:rPr>
          <w:sz w:val="25"/>
          <w:szCs w:val="25"/>
        </w:rPr>
        <w:t xml:space="preserve"> (далі – Положення про конкурс)</w:t>
      </w:r>
      <w:r w:rsidRPr="006D3B9D">
        <w:rPr>
          <w:sz w:val="25"/>
          <w:szCs w:val="25"/>
        </w:rPr>
        <w:t xml:space="preserve">. </w:t>
      </w:r>
    </w:p>
    <w:p w14:paraId="0EAA95F4" w14:textId="077E6B98" w:rsidR="00751565" w:rsidRPr="006D3B9D" w:rsidRDefault="00751565" w:rsidP="006D3B9D">
      <w:pPr>
        <w:shd w:val="clear" w:color="auto" w:fill="FFFFFF"/>
        <w:tabs>
          <w:tab w:val="left" w:pos="426"/>
        </w:tabs>
        <w:spacing w:line="276" w:lineRule="auto"/>
        <w:ind w:firstLine="709"/>
        <w:jc w:val="both"/>
        <w:rPr>
          <w:sz w:val="25"/>
          <w:szCs w:val="25"/>
        </w:rPr>
      </w:pPr>
      <w:r w:rsidRPr="006D3B9D">
        <w:rPr>
          <w:sz w:val="25"/>
          <w:szCs w:val="25"/>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6D3B9D">
        <w:rPr>
          <w:sz w:val="25"/>
          <w:szCs w:val="25"/>
        </w:rPr>
        <w:t>’</w:t>
      </w:r>
      <w:r w:rsidRPr="006D3B9D">
        <w:rPr>
          <w:sz w:val="25"/>
          <w:szCs w:val="25"/>
        </w:rPr>
        <w:t>єктивність, неупередженість та повага до прав людини (</w:t>
      </w:r>
      <w:r w:rsidR="006B56CF" w:rsidRPr="006D3B9D">
        <w:rPr>
          <w:sz w:val="25"/>
          <w:szCs w:val="25"/>
        </w:rPr>
        <w:t xml:space="preserve">пункт </w:t>
      </w:r>
      <w:r w:rsidRPr="006D3B9D">
        <w:rPr>
          <w:sz w:val="25"/>
          <w:szCs w:val="25"/>
        </w:rPr>
        <w:t>1.3 Положення про конкурс).</w:t>
      </w:r>
      <w:bookmarkStart w:id="0" w:name="2473"/>
      <w:bookmarkEnd w:id="0"/>
      <w:r w:rsidRPr="006D3B9D">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sidRPr="006D3B9D">
        <w:rPr>
          <w:sz w:val="25"/>
          <w:szCs w:val="25"/>
        </w:rPr>
        <w:t> </w:t>
      </w:r>
      <w:r w:rsidRPr="006D3B9D">
        <w:rPr>
          <w:sz w:val="25"/>
          <w:szCs w:val="25"/>
        </w:rPr>
        <w:t>79</w:t>
      </w:r>
      <w:r w:rsidR="00DA1AD8" w:rsidRPr="006D3B9D">
        <w:rPr>
          <w:sz w:val="25"/>
          <w:szCs w:val="25"/>
          <w:vertAlign w:val="superscript"/>
        </w:rPr>
        <w:t>3</w:t>
      </w:r>
      <w:r w:rsidR="00937D89" w:rsidRPr="006D3B9D">
        <w:rPr>
          <w:sz w:val="25"/>
          <w:szCs w:val="25"/>
        </w:rPr>
        <w:t> </w:t>
      </w:r>
      <w:r w:rsidRPr="006D3B9D">
        <w:rPr>
          <w:sz w:val="25"/>
          <w:szCs w:val="25"/>
        </w:rPr>
        <w:t>Закону (п</w:t>
      </w:r>
      <w:r w:rsidR="006B56CF" w:rsidRPr="006D3B9D">
        <w:rPr>
          <w:sz w:val="25"/>
          <w:szCs w:val="25"/>
        </w:rPr>
        <w:t xml:space="preserve">ункт </w:t>
      </w:r>
      <w:r w:rsidRPr="006D3B9D">
        <w:rPr>
          <w:sz w:val="25"/>
          <w:szCs w:val="25"/>
        </w:rPr>
        <w:t>1.5 Положення про конкурс).</w:t>
      </w:r>
    </w:p>
    <w:p w14:paraId="78C4A8B8" w14:textId="498D985F" w:rsidR="0068188B" w:rsidRPr="006D3B9D"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w:t>
      </w:r>
      <w:r w:rsidR="00DA1AD8" w:rsidRPr="006D3B9D">
        <w:rPr>
          <w:sz w:val="25"/>
          <w:szCs w:val="25"/>
        </w:rPr>
        <w:t xml:space="preserve">гідно з </w:t>
      </w:r>
      <w:r w:rsidRPr="006D3B9D">
        <w:rPr>
          <w:sz w:val="25"/>
          <w:szCs w:val="25"/>
        </w:rPr>
        <w:t>частин</w:t>
      </w:r>
      <w:r w:rsidR="00DA1AD8" w:rsidRPr="006D3B9D">
        <w:rPr>
          <w:sz w:val="25"/>
          <w:szCs w:val="25"/>
        </w:rPr>
        <w:t>ою</w:t>
      </w:r>
      <w:r w:rsidRPr="006D3B9D">
        <w:rPr>
          <w:sz w:val="25"/>
          <w:szCs w:val="25"/>
        </w:rPr>
        <w:t xml:space="preserve"> </w:t>
      </w:r>
      <w:r w:rsidR="006B56CF" w:rsidRPr="006D3B9D">
        <w:rPr>
          <w:sz w:val="25"/>
          <w:szCs w:val="25"/>
        </w:rPr>
        <w:t>друго</w:t>
      </w:r>
      <w:r w:rsidR="00DA1AD8" w:rsidRPr="006D3B9D">
        <w:rPr>
          <w:sz w:val="25"/>
          <w:szCs w:val="25"/>
        </w:rPr>
        <w:t>ю</w:t>
      </w:r>
      <w:r w:rsidRPr="006D3B9D">
        <w:rPr>
          <w:sz w:val="25"/>
          <w:szCs w:val="25"/>
        </w:rPr>
        <w:t xml:space="preserve"> статті 79</w:t>
      </w:r>
      <w:r w:rsidR="00DA1AD8" w:rsidRPr="006D3B9D">
        <w:rPr>
          <w:sz w:val="25"/>
          <w:szCs w:val="25"/>
          <w:vertAlign w:val="superscript"/>
        </w:rPr>
        <w:t>3</w:t>
      </w:r>
      <w:r w:rsidRPr="006D3B9D">
        <w:rPr>
          <w:sz w:val="25"/>
          <w:szCs w:val="25"/>
        </w:rPr>
        <w:t xml:space="preserve"> Закону </w:t>
      </w:r>
      <w:r w:rsidR="00DA1AD8" w:rsidRPr="006D3B9D">
        <w:rPr>
          <w:sz w:val="25"/>
          <w:szCs w:val="25"/>
        </w:rPr>
        <w:t>в</w:t>
      </w:r>
      <w:r w:rsidRPr="006D3B9D">
        <w:rPr>
          <w:sz w:val="25"/>
          <w:szCs w:val="25"/>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6D3B9D">
        <w:rPr>
          <w:sz w:val="25"/>
          <w:szCs w:val="25"/>
        </w:rPr>
        <w:t> </w:t>
      </w:r>
      <w:r w:rsidRPr="006D3B9D">
        <w:rPr>
          <w:sz w:val="25"/>
          <w:szCs w:val="25"/>
        </w:rPr>
        <w:t>28 (для апеляційного суду) Закон</w:t>
      </w:r>
      <w:r w:rsidR="00492189" w:rsidRPr="006D3B9D">
        <w:rPr>
          <w:sz w:val="25"/>
          <w:szCs w:val="25"/>
        </w:rPr>
        <w:t>у.</w:t>
      </w:r>
      <w:r w:rsidR="00351CD4" w:rsidRPr="006D3B9D">
        <w:rPr>
          <w:sz w:val="25"/>
          <w:szCs w:val="25"/>
        </w:rPr>
        <w:t xml:space="preserve"> Процедуру проведення Комісією кваліфікаційного оцінювання врегульовано главою 1 розділу V Закону. </w:t>
      </w:r>
      <w:r w:rsidRPr="006D3B9D">
        <w:rPr>
          <w:sz w:val="25"/>
          <w:szCs w:val="25"/>
        </w:rPr>
        <w:t>Отже</w:t>
      </w:r>
      <w:r w:rsidR="006B56CF" w:rsidRPr="006D3B9D">
        <w:rPr>
          <w:sz w:val="25"/>
          <w:szCs w:val="25"/>
        </w:rPr>
        <w:t>,</w:t>
      </w:r>
      <w:r w:rsidRPr="006D3B9D">
        <w:rPr>
          <w:sz w:val="25"/>
          <w:szCs w:val="25"/>
        </w:rPr>
        <w:t xml:space="preserve"> необхідною умовою зайняття посади судді є проходження кваліфікаційного оцінювання </w:t>
      </w:r>
      <w:r w:rsidR="00351CD4" w:rsidRPr="006D3B9D">
        <w:rPr>
          <w:sz w:val="25"/>
          <w:szCs w:val="25"/>
        </w:rPr>
        <w:t xml:space="preserve">з метою визначення здатності кандидата на посаду судді здійснювати правосуддя у відповідному суді. </w:t>
      </w:r>
    </w:p>
    <w:p w14:paraId="7334E681" w14:textId="62C0812E" w:rsidR="00CE0EF4" w:rsidRPr="006D3B9D"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Частиною</w:t>
      </w:r>
      <w:r w:rsidR="006B56CF" w:rsidRPr="006D3B9D">
        <w:rPr>
          <w:sz w:val="25"/>
          <w:szCs w:val="25"/>
        </w:rPr>
        <w:t xml:space="preserve"> </w:t>
      </w:r>
      <w:r w:rsidR="00CF7A4E" w:rsidRPr="006D3B9D">
        <w:rPr>
          <w:sz w:val="25"/>
          <w:szCs w:val="25"/>
        </w:rPr>
        <w:t>другою</w:t>
      </w:r>
      <w:r w:rsidRPr="006D3B9D">
        <w:rPr>
          <w:sz w:val="25"/>
          <w:szCs w:val="25"/>
        </w:rPr>
        <w:t xml:space="preserve"> </w:t>
      </w:r>
      <w:r w:rsidR="00DA1AD8" w:rsidRPr="006D3B9D">
        <w:rPr>
          <w:sz w:val="25"/>
          <w:szCs w:val="25"/>
        </w:rPr>
        <w:t xml:space="preserve">статті </w:t>
      </w:r>
      <w:r w:rsidRPr="006D3B9D">
        <w:rPr>
          <w:sz w:val="25"/>
          <w:szCs w:val="25"/>
        </w:rPr>
        <w:t xml:space="preserve">83 Закону </w:t>
      </w:r>
      <w:r w:rsidR="00DA1AD8" w:rsidRPr="006D3B9D">
        <w:rPr>
          <w:sz w:val="25"/>
          <w:szCs w:val="25"/>
        </w:rPr>
        <w:t>в</w:t>
      </w:r>
      <w:r w:rsidRPr="006D3B9D">
        <w:rPr>
          <w:sz w:val="25"/>
          <w:szCs w:val="25"/>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A1AD8" w:rsidRPr="006D3B9D">
        <w:rPr>
          <w:sz w:val="25"/>
          <w:szCs w:val="25"/>
        </w:rPr>
        <w:t>К</w:t>
      </w:r>
      <w:r w:rsidRPr="006D3B9D">
        <w:rPr>
          <w:sz w:val="25"/>
          <w:szCs w:val="25"/>
        </w:rPr>
        <w:t>ритері</w:t>
      </w:r>
      <w:r w:rsidR="00DA1AD8" w:rsidRPr="006D3B9D">
        <w:rPr>
          <w:sz w:val="25"/>
          <w:szCs w:val="25"/>
        </w:rPr>
        <w:t>ями</w:t>
      </w:r>
      <w:r w:rsidRPr="006D3B9D">
        <w:rPr>
          <w:sz w:val="25"/>
          <w:szCs w:val="25"/>
        </w:rPr>
        <w:t xml:space="preserve"> кваліфікаційного оцінювання</w:t>
      </w:r>
      <w:r w:rsidR="00DA1AD8" w:rsidRPr="006D3B9D">
        <w:rPr>
          <w:sz w:val="25"/>
          <w:szCs w:val="25"/>
        </w:rPr>
        <w:t xml:space="preserve"> є</w:t>
      </w:r>
      <w:r w:rsidRPr="006D3B9D">
        <w:rPr>
          <w:sz w:val="25"/>
          <w:szCs w:val="25"/>
        </w:rPr>
        <w:t>: 1) компетентність (професійна, особиста, соціальна тощо); 2) професійна етика; 3) доброчесність.</w:t>
      </w:r>
      <w:r w:rsidR="00CE0EF4" w:rsidRPr="006D3B9D">
        <w:rPr>
          <w:sz w:val="25"/>
          <w:szCs w:val="25"/>
        </w:rPr>
        <w:t xml:space="preserve"> </w:t>
      </w:r>
      <w:r w:rsidR="00351CD4" w:rsidRPr="006D3B9D">
        <w:rPr>
          <w:sz w:val="25"/>
          <w:szCs w:val="25"/>
        </w:rPr>
        <w:t>Відповідно до частини п</w:t>
      </w:r>
      <w:r w:rsidR="00492189" w:rsidRPr="006D3B9D">
        <w:rPr>
          <w:sz w:val="25"/>
          <w:szCs w:val="25"/>
        </w:rPr>
        <w:t>’</w:t>
      </w:r>
      <w:r w:rsidR="00351CD4" w:rsidRPr="006D3B9D">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5CD3CD21" w:rsidR="0068188B" w:rsidRPr="006D3B9D"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Р</w:t>
      </w:r>
      <w:r w:rsidR="00351CD4" w:rsidRPr="006D3B9D">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6D3B9D">
        <w:rPr>
          <w:sz w:val="25"/>
          <w:szCs w:val="25"/>
        </w:rPr>
        <w:t>)</w:t>
      </w:r>
      <w:r w:rsidRPr="006D3B9D">
        <w:rPr>
          <w:sz w:val="25"/>
          <w:szCs w:val="25"/>
        </w:rPr>
        <w:t xml:space="preserve">. </w:t>
      </w:r>
      <w:r w:rsidR="00DA1AD8" w:rsidRPr="006D3B9D">
        <w:rPr>
          <w:sz w:val="25"/>
          <w:szCs w:val="25"/>
        </w:rPr>
        <w:t>Відповідно до</w:t>
      </w:r>
      <w:r w:rsidR="00751565" w:rsidRPr="006D3B9D">
        <w:rPr>
          <w:sz w:val="25"/>
          <w:szCs w:val="25"/>
        </w:rPr>
        <w:t xml:space="preserve"> </w:t>
      </w:r>
      <w:r w:rsidR="00351CD4" w:rsidRPr="006D3B9D">
        <w:rPr>
          <w:sz w:val="25"/>
          <w:szCs w:val="25"/>
        </w:rPr>
        <w:t>п</w:t>
      </w:r>
      <w:r w:rsidR="00440C5C" w:rsidRPr="006D3B9D">
        <w:rPr>
          <w:sz w:val="25"/>
          <w:szCs w:val="25"/>
        </w:rPr>
        <w:t>унктів</w:t>
      </w:r>
      <w:r w:rsidR="00351CD4" w:rsidRPr="006D3B9D">
        <w:rPr>
          <w:sz w:val="25"/>
          <w:szCs w:val="25"/>
        </w:rPr>
        <w:t xml:space="preserve"> 1.1</w:t>
      </w:r>
      <w:r w:rsidR="00440C5C" w:rsidRPr="006D3B9D">
        <w:rPr>
          <w:sz w:val="25"/>
          <w:szCs w:val="25"/>
        </w:rPr>
        <w:t>‒</w:t>
      </w:r>
      <w:r w:rsidR="00351CD4" w:rsidRPr="006D3B9D">
        <w:rPr>
          <w:sz w:val="25"/>
          <w:szCs w:val="25"/>
        </w:rPr>
        <w:t>1.6</w:t>
      </w:r>
      <w:r w:rsidR="00440C5C" w:rsidRPr="006D3B9D">
        <w:rPr>
          <w:sz w:val="25"/>
          <w:szCs w:val="25"/>
        </w:rPr>
        <w:t xml:space="preserve"> </w:t>
      </w:r>
      <w:r w:rsidR="00DA1AD8" w:rsidRPr="006D3B9D">
        <w:rPr>
          <w:sz w:val="25"/>
          <w:szCs w:val="25"/>
        </w:rPr>
        <w:t>П</w:t>
      </w:r>
      <w:r w:rsidR="00440C5C" w:rsidRPr="006D3B9D">
        <w:rPr>
          <w:sz w:val="25"/>
          <w:szCs w:val="25"/>
        </w:rPr>
        <w:t xml:space="preserve">оложення </w:t>
      </w:r>
      <w:r w:rsidR="00DA1AD8" w:rsidRPr="006D3B9D">
        <w:rPr>
          <w:sz w:val="25"/>
          <w:szCs w:val="25"/>
        </w:rPr>
        <w:t xml:space="preserve">про кваліфікаційне оцінювання </w:t>
      </w:r>
      <w:r w:rsidRPr="006D3B9D">
        <w:rPr>
          <w:sz w:val="25"/>
          <w:szCs w:val="25"/>
        </w:rPr>
        <w:t>з</w:t>
      </w:r>
      <w:r w:rsidR="00351CD4" w:rsidRPr="006D3B9D">
        <w:rPr>
          <w:sz w:val="25"/>
          <w:szCs w:val="25"/>
        </w:rPr>
        <w:t>авданням кваліфікаційного оцінювання є встановлення відповідності кандидата на посаду судді</w:t>
      </w:r>
      <w:r w:rsidRPr="006D3B9D">
        <w:rPr>
          <w:sz w:val="25"/>
          <w:szCs w:val="25"/>
        </w:rPr>
        <w:t xml:space="preserve"> </w:t>
      </w:r>
      <w:r w:rsidR="00351CD4" w:rsidRPr="006D3B9D">
        <w:rPr>
          <w:sz w:val="25"/>
          <w:szCs w:val="25"/>
        </w:rPr>
        <w:t>вимогам до посади судді за критеріями компетентності (професійн</w:t>
      </w:r>
      <w:r w:rsidR="00440C5C" w:rsidRPr="006D3B9D">
        <w:rPr>
          <w:sz w:val="25"/>
          <w:szCs w:val="25"/>
        </w:rPr>
        <w:t>ої</w:t>
      </w:r>
      <w:r w:rsidR="00351CD4" w:rsidRPr="006D3B9D">
        <w:rPr>
          <w:sz w:val="25"/>
          <w:szCs w:val="25"/>
        </w:rPr>
        <w:t>, особист</w:t>
      </w:r>
      <w:r w:rsidR="00440C5C" w:rsidRPr="006D3B9D">
        <w:rPr>
          <w:sz w:val="25"/>
          <w:szCs w:val="25"/>
        </w:rPr>
        <w:t>ої</w:t>
      </w:r>
      <w:r w:rsidR="00351CD4" w:rsidRPr="006D3B9D">
        <w:rPr>
          <w:sz w:val="25"/>
          <w:szCs w:val="25"/>
        </w:rPr>
        <w:t>, соціальн</w:t>
      </w:r>
      <w:r w:rsidR="00440C5C" w:rsidRPr="006D3B9D">
        <w:rPr>
          <w:sz w:val="25"/>
          <w:szCs w:val="25"/>
        </w:rPr>
        <w:t>ої</w:t>
      </w:r>
      <w:r w:rsidR="00351CD4" w:rsidRPr="006D3B9D">
        <w:rPr>
          <w:sz w:val="25"/>
          <w:szCs w:val="25"/>
        </w:rPr>
        <w:t>), доброчесності та професійної етики згідно з визначеними показниками</w:t>
      </w:r>
      <w:r w:rsidR="00440C5C" w:rsidRPr="006D3B9D">
        <w:rPr>
          <w:sz w:val="25"/>
          <w:szCs w:val="25"/>
        </w:rPr>
        <w:t>.</w:t>
      </w:r>
      <w:r w:rsidRPr="006D3B9D">
        <w:rPr>
          <w:sz w:val="25"/>
          <w:szCs w:val="25"/>
        </w:rPr>
        <w:t xml:space="preserve"> </w:t>
      </w:r>
      <w:r w:rsidR="00440C5C" w:rsidRPr="006D3B9D">
        <w:rPr>
          <w:sz w:val="25"/>
          <w:szCs w:val="25"/>
        </w:rPr>
        <w:t>О</w:t>
      </w:r>
      <w:r w:rsidR="00351CD4" w:rsidRPr="006D3B9D">
        <w:rPr>
          <w:sz w:val="25"/>
          <w:szCs w:val="25"/>
        </w:rPr>
        <w:t>сновн</w:t>
      </w:r>
      <w:r w:rsidR="00440C5C" w:rsidRPr="006D3B9D">
        <w:rPr>
          <w:sz w:val="25"/>
          <w:szCs w:val="25"/>
        </w:rPr>
        <w:t>і</w:t>
      </w:r>
      <w:r w:rsidR="00351CD4" w:rsidRPr="006D3B9D">
        <w:rPr>
          <w:sz w:val="25"/>
          <w:szCs w:val="25"/>
        </w:rPr>
        <w:t xml:space="preserve"> принципи кваліфікаційного оцінювання </w:t>
      </w:r>
      <w:r w:rsidR="00440C5C" w:rsidRPr="006D3B9D">
        <w:rPr>
          <w:sz w:val="25"/>
          <w:szCs w:val="25"/>
        </w:rPr>
        <w:t>‒ це</w:t>
      </w:r>
      <w:r w:rsidR="00351CD4" w:rsidRPr="006D3B9D">
        <w:rPr>
          <w:sz w:val="25"/>
          <w:szCs w:val="25"/>
        </w:rPr>
        <w:t xml:space="preserve"> автономність, запобігання конфлікту інтересів, об</w:t>
      </w:r>
      <w:r w:rsidR="0026341B" w:rsidRPr="006D3B9D">
        <w:rPr>
          <w:sz w:val="25"/>
          <w:szCs w:val="25"/>
        </w:rPr>
        <w:t>’</w:t>
      </w:r>
      <w:r w:rsidR="00351CD4" w:rsidRPr="006D3B9D">
        <w:rPr>
          <w:sz w:val="25"/>
          <w:szCs w:val="25"/>
        </w:rPr>
        <w:t>єктивність, неупередженість, прозорість, публічність, рівність умов для кандидатів на посаду судді</w:t>
      </w:r>
      <w:r w:rsidRPr="006D3B9D">
        <w:rPr>
          <w:sz w:val="25"/>
          <w:szCs w:val="25"/>
        </w:rPr>
        <w:t xml:space="preserve">. </w:t>
      </w:r>
    </w:p>
    <w:p w14:paraId="2FA6435E" w14:textId="2A8C3A2A" w:rsidR="00CE0EF4" w:rsidRPr="006D3B9D"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6D3B9D">
        <w:rPr>
          <w:sz w:val="25"/>
          <w:szCs w:val="25"/>
        </w:rPr>
        <w:t xml:space="preserve"> в</w:t>
      </w:r>
      <w:r w:rsidRPr="006D3B9D">
        <w:rPr>
          <w:sz w:val="25"/>
          <w:szCs w:val="25"/>
        </w:rPr>
        <w:t xml:space="preserve"> апеляційних суд</w:t>
      </w:r>
      <w:r w:rsidR="00440C5C" w:rsidRPr="006D3B9D">
        <w:rPr>
          <w:sz w:val="25"/>
          <w:szCs w:val="25"/>
        </w:rPr>
        <w:t>ах</w:t>
      </w:r>
      <w:r w:rsidRPr="006D3B9D">
        <w:rPr>
          <w:sz w:val="25"/>
          <w:szCs w:val="25"/>
        </w:rPr>
        <w:t>.</w:t>
      </w:r>
    </w:p>
    <w:p w14:paraId="6EF5CBB4" w14:textId="27A95FA5" w:rsidR="00C22273" w:rsidRPr="006D3B9D"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Рішенням Комісії від </w:t>
      </w:r>
      <w:r w:rsidR="00C22273" w:rsidRPr="006D3B9D">
        <w:rPr>
          <w:sz w:val="25"/>
          <w:szCs w:val="25"/>
        </w:rPr>
        <w:t>14 вересня 2023 року</w:t>
      </w:r>
      <w:r w:rsidRPr="006D3B9D">
        <w:rPr>
          <w:sz w:val="25"/>
          <w:szCs w:val="25"/>
        </w:rPr>
        <w:t xml:space="preserve"> № 94/зп-23</w:t>
      </w:r>
      <w:r w:rsidR="00C22273" w:rsidRPr="006D3B9D">
        <w:rPr>
          <w:sz w:val="25"/>
          <w:szCs w:val="25"/>
        </w:rPr>
        <w:t xml:space="preserve"> </w:t>
      </w:r>
      <w:r w:rsidR="00601A36" w:rsidRPr="006D3B9D">
        <w:rPr>
          <w:sz w:val="25"/>
          <w:szCs w:val="25"/>
        </w:rPr>
        <w:t>(з</w:t>
      </w:r>
      <w:r w:rsidR="00DA1AD8" w:rsidRPr="006D3B9D">
        <w:rPr>
          <w:sz w:val="25"/>
          <w:szCs w:val="25"/>
        </w:rPr>
        <w:t>і</w:t>
      </w:r>
      <w:r w:rsidR="00601A36" w:rsidRPr="006D3B9D">
        <w:rPr>
          <w:sz w:val="25"/>
          <w:szCs w:val="25"/>
        </w:rPr>
        <w:t xml:space="preserve"> змінами</w:t>
      </w:r>
      <w:r w:rsidR="00DA1AD8" w:rsidRPr="006D3B9D">
        <w:rPr>
          <w:sz w:val="25"/>
          <w:szCs w:val="25"/>
        </w:rPr>
        <w:t>)</w:t>
      </w:r>
      <w:r w:rsidR="00C22273" w:rsidRPr="006D3B9D">
        <w:rPr>
          <w:sz w:val="25"/>
          <w:szCs w:val="25"/>
        </w:rPr>
        <w:t xml:space="preserve"> оголошено конкурс на зайняття 5</w:t>
      </w:r>
      <w:r w:rsidR="00601A36" w:rsidRPr="006D3B9D">
        <w:rPr>
          <w:sz w:val="25"/>
          <w:szCs w:val="25"/>
        </w:rPr>
        <w:t>50</w:t>
      </w:r>
      <w:r w:rsidR="00C22273" w:rsidRPr="006D3B9D">
        <w:rPr>
          <w:sz w:val="25"/>
          <w:szCs w:val="25"/>
        </w:rPr>
        <w:t xml:space="preserve"> вакантних посад суддів в апеляційних судах, зокрема в апеляційних </w:t>
      </w:r>
      <w:r w:rsidR="002275D5" w:rsidRPr="006D3B9D">
        <w:rPr>
          <w:sz w:val="25"/>
          <w:szCs w:val="25"/>
        </w:rPr>
        <w:t>загальних</w:t>
      </w:r>
      <w:r w:rsidR="00C22273" w:rsidRPr="006D3B9D">
        <w:rPr>
          <w:sz w:val="25"/>
          <w:szCs w:val="25"/>
        </w:rPr>
        <w:t xml:space="preserve"> судах. </w:t>
      </w:r>
    </w:p>
    <w:p w14:paraId="666CA07F" w14:textId="1B5A4CFD" w:rsidR="007C75A5" w:rsidRPr="006D3B9D"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Частиною </w:t>
      </w:r>
      <w:r w:rsidR="00440C5C" w:rsidRPr="006D3B9D">
        <w:rPr>
          <w:sz w:val="25"/>
          <w:szCs w:val="25"/>
        </w:rPr>
        <w:t>четвертою</w:t>
      </w:r>
      <w:r w:rsidRPr="006D3B9D">
        <w:rPr>
          <w:sz w:val="25"/>
          <w:szCs w:val="25"/>
        </w:rPr>
        <w:t xml:space="preserve"> статті 83 Закону </w:t>
      </w:r>
      <w:r w:rsidR="00DA1AD8" w:rsidRPr="006D3B9D">
        <w:rPr>
          <w:sz w:val="25"/>
          <w:szCs w:val="25"/>
        </w:rPr>
        <w:t>в</w:t>
      </w:r>
      <w:r w:rsidRPr="006D3B9D">
        <w:rPr>
          <w:sz w:val="25"/>
          <w:szCs w:val="25"/>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6D3B9D">
        <w:rPr>
          <w:sz w:val="25"/>
          <w:szCs w:val="25"/>
        </w:rPr>
        <w:t>в</w:t>
      </w:r>
      <w:r w:rsidRPr="006D3B9D">
        <w:rPr>
          <w:sz w:val="25"/>
          <w:szCs w:val="25"/>
        </w:rPr>
        <w:t xml:space="preserve"> конкурсі. </w:t>
      </w:r>
    </w:p>
    <w:p w14:paraId="69B38B68" w14:textId="45BAC9F5" w:rsidR="00601A36" w:rsidRPr="006D3B9D" w:rsidRDefault="00DA1AD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Д</w:t>
      </w:r>
      <w:r w:rsidR="00FD4135" w:rsidRPr="006D3B9D">
        <w:rPr>
          <w:sz w:val="25"/>
          <w:szCs w:val="25"/>
        </w:rPr>
        <w:t xml:space="preserve">о Комісії </w:t>
      </w:r>
      <w:r w:rsidRPr="006D3B9D">
        <w:rPr>
          <w:sz w:val="25"/>
          <w:szCs w:val="25"/>
        </w:rPr>
        <w:t xml:space="preserve">31 грудня 2023 року </w:t>
      </w:r>
      <w:r w:rsidR="00FD4135" w:rsidRPr="006D3B9D">
        <w:rPr>
          <w:sz w:val="25"/>
          <w:szCs w:val="25"/>
        </w:rPr>
        <w:t>надійшла заява</w:t>
      </w:r>
      <w:r w:rsidR="00D53219" w:rsidRPr="006D3B9D">
        <w:rPr>
          <w:sz w:val="25"/>
          <w:szCs w:val="25"/>
        </w:rPr>
        <w:t xml:space="preserve"> </w:t>
      </w:r>
      <w:proofErr w:type="spellStart"/>
      <w:r w:rsidR="00CC2DA9" w:rsidRPr="006D3B9D">
        <w:rPr>
          <w:sz w:val="25"/>
          <w:szCs w:val="25"/>
        </w:rPr>
        <w:t>Косогор</w:t>
      </w:r>
      <w:proofErr w:type="spellEnd"/>
      <w:r w:rsidR="00601A36" w:rsidRPr="006D3B9D">
        <w:rPr>
          <w:sz w:val="25"/>
          <w:szCs w:val="25"/>
        </w:rPr>
        <w:t xml:space="preserve"> </w:t>
      </w:r>
      <w:r w:rsidRPr="006D3B9D">
        <w:rPr>
          <w:sz w:val="25"/>
          <w:szCs w:val="25"/>
        </w:rPr>
        <w:t xml:space="preserve">Оксани Миколаївни </w:t>
      </w:r>
      <w:r w:rsidR="00601A36" w:rsidRPr="006D3B9D">
        <w:rPr>
          <w:sz w:val="25"/>
          <w:szCs w:val="25"/>
        </w:rPr>
        <w:t>про допус</w:t>
      </w:r>
      <w:r w:rsidR="0026341B" w:rsidRPr="006D3B9D">
        <w:rPr>
          <w:sz w:val="25"/>
          <w:szCs w:val="25"/>
        </w:rPr>
        <w:t>к</w:t>
      </w:r>
      <w:r w:rsidR="00FD4135" w:rsidRPr="006D3B9D">
        <w:rPr>
          <w:sz w:val="25"/>
          <w:szCs w:val="25"/>
        </w:rPr>
        <w:t xml:space="preserve"> </w:t>
      </w:r>
      <w:r w:rsidR="00CC2DA9" w:rsidRPr="006D3B9D">
        <w:rPr>
          <w:sz w:val="25"/>
          <w:szCs w:val="25"/>
        </w:rPr>
        <w:t>її</w:t>
      </w:r>
      <w:r w:rsidR="00601A36" w:rsidRPr="006D3B9D">
        <w:rPr>
          <w:sz w:val="25"/>
          <w:szCs w:val="25"/>
        </w:rPr>
        <w:t xml:space="preserve"> до участі в конкурсі на зайняття вакантної посади судді </w:t>
      </w:r>
      <w:r w:rsidR="0033157A" w:rsidRPr="006D3B9D">
        <w:rPr>
          <w:sz w:val="25"/>
          <w:szCs w:val="25"/>
        </w:rPr>
        <w:t xml:space="preserve">в </w:t>
      </w:r>
      <w:r w:rsidR="00601A36" w:rsidRPr="006D3B9D">
        <w:rPr>
          <w:sz w:val="25"/>
          <w:szCs w:val="25"/>
        </w:rPr>
        <w:t>апеляційно</w:t>
      </w:r>
      <w:r w:rsidR="0033157A" w:rsidRPr="006D3B9D">
        <w:rPr>
          <w:sz w:val="25"/>
          <w:szCs w:val="25"/>
        </w:rPr>
        <w:t>му</w:t>
      </w:r>
      <w:r w:rsidR="00601A36" w:rsidRPr="006D3B9D">
        <w:rPr>
          <w:sz w:val="25"/>
          <w:szCs w:val="25"/>
        </w:rPr>
        <w:t xml:space="preserve"> </w:t>
      </w:r>
      <w:r w:rsidR="000101B3" w:rsidRPr="006D3B9D">
        <w:rPr>
          <w:sz w:val="25"/>
          <w:szCs w:val="25"/>
        </w:rPr>
        <w:t>загальному</w:t>
      </w:r>
      <w:r w:rsidR="00601A36" w:rsidRPr="006D3B9D">
        <w:rPr>
          <w:sz w:val="25"/>
          <w:szCs w:val="25"/>
        </w:rPr>
        <w:t xml:space="preserve"> суд</w:t>
      </w:r>
      <w:r w:rsidR="0033157A" w:rsidRPr="006D3B9D">
        <w:rPr>
          <w:sz w:val="25"/>
          <w:szCs w:val="25"/>
        </w:rPr>
        <w:t>і</w:t>
      </w:r>
      <w:r w:rsidR="00601A36" w:rsidRPr="006D3B9D">
        <w:rPr>
          <w:sz w:val="25"/>
          <w:szCs w:val="25"/>
        </w:rPr>
        <w:t xml:space="preserve">, оголошеному рішенням </w:t>
      </w:r>
      <w:r w:rsidR="009B0D2F" w:rsidRPr="006D3B9D">
        <w:rPr>
          <w:sz w:val="25"/>
          <w:szCs w:val="25"/>
        </w:rPr>
        <w:t>Комісії</w:t>
      </w:r>
      <w:r w:rsidR="00601A36" w:rsidRPr="006D3B9D">
        <w:rPr>
          <w:sz w:val="25"/>
          <w:szCs w:val="25"/>
        </w:rPr>
        <w:t xml:space="preserve"> від 14</w:t>
      </w:r>
      <w:r w:rsidR="00AA35A8" w:rsidRPr="006D3B9D">
        <w:rPr>
          <w:sz w:val="25"/>
          <w:szCs w:val="25"/>
        </w:rPr>
        <w:t xml:space="preserve"> вересня </w:t>
      </w:r>
      <w:r w:rsidR="00601A36" w:rsidRPr="006D3B9D">
        <w:rPr>
          <w:sz w:val="25"/>
          <w:szCs w:val="25"/>
        </w:rPr>
        <w:t>2023</w:t>
      </w:r>
      <w:r w:rsidR="00AA35A8" w:rsidRPr="006D3B9D">
        <w:rPr>
          <w:sz w:val="25"/>
          <w:szCs w:val="25"/>
        </w:rPr>
        <w:t xml:space="preserve"> року</w:t>
      </w:r>
      <w:r w:rsidR="005E75DF" w:rsidRPr="006D3B9D">
        <w:rPr>
          <w:sz w:val="25"/>
          <w:szCs w:val="25"/>
        </w:rPr>
        <w:t>,</w:t>
      </w:r>
      <w:r w:rsidR="00601A36" w:rsidRPr="006D3B9D">
        <w:rPr>
          <w:sz w:val="25"/>
          <w:szCs w:val="25"/>
        </w:rPr>
        <w:t xml:space="preserve"> як особ</w:t>
      </w:r>
      <w:r w:rsidR="00D463CA" w:rsidRPr="006D3B9D">
        <w:rPr>
          <w:sz w:val="25"/>
          <w:szCs w:val="25"/>
        </w:rPr>
        <w:t>и</w:t>
      </w:r>
      <w:r w:rsidR="00601A36" w:rsidRPr="006D3B9D">
        <w:rPr>
          <w:sz w:val="25"/>
          <w:szCs w:val="25"/>
        </w:rPr>
        <w:t xml:space="preserve">, </w:t>
      </w:r>
      <w:r w:rsidR="009E117D" w:rsidRPr="006D3B9D">
        <w:rPr>
          <w:sz w:val="25"/>
          <w:szCs w:val="25"/>
        </w:rPr>
        <w:t xml:space="preserve">яка відповідає вимогам </w:t>
      </w:r>
      <w:r w:rsidR="005E75DF" w:rsidRPr="006D3B9D">
        <w:rPr>
          <w:sz w:val="25"/>
          <w:szCs w:val="25"/>
        </w:rPr>
        <w:t>п</w:t>
      </w:r>
      <w:r w:rsidR="009E117D" w:rsidRPr="006D3B9D">
        <w:rPr>
          <w:sz w:val="25"/>
          <w:szCs w:val="25"/>
        </w:rPr>
        <w:t>ункту 1 частини першої статті 28 Закону</w:t>
      </w:r>
      <w:r w:rsidR="00601A36" w:rsidRPr="006D3B9D">
        <w:rPr>
          <w:sz w:val="25"/>
          <w:szCs w:val="25"/>
        </w:rPr>
        <w:t xml:space="preserve">, </w:t>
      </w:r>
      <w:r w:rsidR="005E75DF" w:rsidRPr="006D3B9D">
        <w:rPr>
          <w:sz w:val="25"/>
          <w:szCs w:val="25"/>
        </w:rPr>
        <w:t>та про</w:t>
      </w:r>
      <w:r w:rsidR="00601A36" w:rsidRPr="006D3B9D">
        <w:rPr>
          <w:sz w:val="25"/>
          <w:szCs w:val="25"/>
        </w:rPr>
        <w:t xml:space="preserve"> прове</w:t>
      </w:r>
      <w:r w:rsidR="005E75DF" w:rsidRPr="006D3B9D">
        <w:rPr>
          <w:sz w:val="25"/>
          <w:szCs w:val="25"/>
        </w:rPr>
        <w:t>дення</w:t>
      </w:r>
      <w:r w:rsidR="00601A36" w:rsidRPr="006D3B9D">
        <w:rPr>
          <w:sz w:val="25"/>
          <w:szCs w:val="25"/>
        </w:rPr>
        <w:t xml:space="preserve"> стосовно </w:t>
      </w:r>
      <w:r w:rsidR="009B0D2F" w:rsidRPr="006D3B9D">
        <w:rPr>
          <w:sz w:val="25"/>
          <w:szCs w:val="25"/>
        </w:rPr>
        <w:t>н</w:t>
      </w:r>
      <w:r w:rsidR="00CC2DA9" w:rsidRPr="006D3B9D">
        <w:rPr>
          <w:sz w:val="25"/>
          <w:szCs w:val="25"/>
        </w:rPr>
        <w:t>еї</w:t>
      </w:r>
      <w:r w:rsidR="00601A36" w:rsidRPr="006D3B9D">
        <w:rPr>
          <w:sz w:val="25"/>
          <w:szCs w:val="25"/>
        </w:rPr>
        <w:t xml:space="preserve"> кваліфікаційн</w:t>
      </w:r>
      <w:r w:rsidR="005E75DF" w:rsidRPr="006D3B9D">
        <w:rPr>
          <w:sz w:val="25"/>
          <w:szCs w:val="25"/>
        </w:rPr>
        <w:t>ого</w:t>
      </w:r>
      <w:r w:rsidR="00601A36" w:rsidRPr="006D3B9D">
        <w:rPr>
          <w:sz w:val="25"/>
          <w:szCs w:val="25"/>
        </w:rPr>
        <w:t xml:space="preserve"> оцінювання для підтвердження здатності здійснювати правосуддя у відповідному суді.</w:t>
      </w:r>
    </w:p>
    <w:p w14:paraId="122E6571" w14:textId="06288901" w:rsidR="00567059" w:rsidRPr="006D3B9D"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Рішенням </w:t>
      </w:r>
      <w:r w:rsidR="009B0D2F" w:rsidRPr="006D3B9D">
        <w:rPr>
          <w:sz w:val="25"/>
          <w:szCs w:val="25"/>
        </w:rPr>
        <w:t>Комісії</w:t>
      </w:r>
      <w:r w:rsidRPr="006D3B9D">
        <w:rPr>
          <w:sz w:val="25"/>
          <w:szCs w:val="25"/>
        </w:rPr>
        <w:t xml:space="preserve"> від 04</w:t>
      </w:r>
      <w:r w:rsidR="009B0D2F" w:rsidRPr="006D3B9D">
        <w:rPr>
          <w:sz w:val="25"/>
          <w:szCs w:val="25"/>
        </w:rPr>
        <w:t xml:space="preserve"> березня </w:t>
      </w:r>
      <w:r w:rsidRPr="006D3B9D">
        <w:rPr>
          <w:sz w:val="25"/>
          <w:szCs w:val="25"/>
        </w:rPr>
        <w:t xml:space="preserve">2023 </w:t>
      </w:r>
      <w:r w:rsidR="009B0D2F" w:rsidRPr="006D3B9D">
        <w:rPr>
          <w:sz w:val="25"/>
          <w:szCs w:val="25"/>
        </w:rPr>
        <w:t xml:space="preserve">року </w:t>
      </w:r>
      <w:r w:rsidRPr="006D3B9D">
        <w:rPr>
          <w:sz w:val="25"/>
          <w:szCs w:val="25"/>
        </w:rPr>
        <w:t xml:space="preserve">№ </w:t>
      </w:r>
      <w:r w:rsidR="000101B3" w:rsidRPr="006D3B9D">
        <w:rPr>
          <w:sz w:val="25"/>
          <w:szCs w:val="25"/>
        </w:rPr>
        <w:t>105</w:t>
      </w:r>
      <w:r w:rsidRPr="006D3B9D">
        <w:rPr>
          <w:sz w:val="25"/>
          <w:szCs w:val="25"/>
        </w:rPr>
        <w:t xml:space="preserve">/ас-24 </w:t>
      </w:r>
      <w:proofErr w:type="spellStart"/>
      <w:r w:rsidR="00CC2DA9" w:rsidRPr="006D3B9D">
        <w:rPr>
          <w:sz w:val="25"/>
          <w:szCs w:val="25"/>
        </w:rPr>
        <w:t>Косогор</w:t>
      </w:r>
      <w:proofErr w:type="spellEnd"/>
      <w:r w:rsidR="00CC2DA9" w:rsidRPr="006D3B9D">
        <w:rPr>
          <w:sz w:val="25"/>
          <w:szCs w:val="25"/>
        </w:rPr>
        <w:t xml:space="preserve"> О</w:t>
      </w:r>
      <w:r w:rsidR="00DA1AD8" w:rsidRPr="006D3B9D">
        <w:rPr>
          <w:sz w:val="25"/>
          <w:szCs w:val="25"/>
        </w:rPr>
        <w:t>.М.</w:t>
      </w:r>
      <w:r w:rsidRPr="006D3B9D">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6D3B9D">
        <w:rPr>
          <w:sz w:val="25"/>
          <w:szCs w:val="25"/>
        </w:rPr>
        <w:t xml:space="preserve">в </w:t>
      </w:r>
      <w:r w:rsidRPr="006D3B9D">
        <w:rPr>
          <w:sz w:val="25"/>
          <w:szCs w:val="25"/>
        </w:rPr>
        <w:t>апеляційних суд</w:t>
      </w:r>
      <w:r w:rsidR="005E75DF" w:rsidRPr="006D3B9D">
        <w:rPr>
          <w:sz w:val="25"/>
          <w:szCs w:val="25"/>
        </w:rPr>
        <w:t>ах</w:t>
      </w:r>
      <w:r w:rsidRPr="006D3B9D">
        <w:rPr>
          <w:sz w:val="25"/>
          <w:szCs w:val="25"/>
        </w:rPr>
        <w:t>.</w:t>
      </w:r>
    </w:p>
    <w:p w14:paraId="405ECC24" w14:textId="4F183826" w:rsidR="00567059" w:rsidRPr="006D3B9D" w:rsidRDefault="00567059" w:rsidP="00567059">
      <w:pPr>
        <w:jc w:val="both"/>
        <w:rPr>
          <w:b/>
          <w:sz w:val="25"/>
          <w:szCs w:val="25"/>
        </w:rPr>
      </w:pPr>
      <w:r w:rsidRPr="006D3B9D">
        <w:rPr>
          <w:b/>
          <w:sz w:val="25"/>
          <w:szCs w:val="25"/>
        </w:rPr>
        <w:t xml:space="preserve">ІІ. Основні відомості про кандидата. </w:t>
      </w:r>
    </w:p>
    <w:p w14:paraId="74DA42DE" w14:textId="77777777" w:rsidR="00567059" w:rsidRPr="006D3B9D" w:rsidRDefault="00567059" w:rsidP="00567059">
      <w:pPr>
        <w:jc w:val="both"/>
        <w:rPr>
          <w:sz w:val="25"/>
          <w:szCs w:val="25"/>
          <w:highlight w:val="cyan"/>
        </w:rPr>
      </w:pPr>
    </w:p>
    <w:p w14:paraId="3DA857D7" w14:textId="63B6D9C1" w:rsidR="00157501" w:rsidRPr="006D3B9D" w:rsidRDefault="00CC2DA9"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6D3B9D">
        <w:rPr>
          <w:sz w:val="25"/>
          <w:szCs w:val="25"/>
        </w:rPr>
        <w:t>Косогор</w:t>
      </w:r>
      <w:proofErr w:type="spellEnd"/>
      <w:r w:rsidRPr="006D3B9D">
        <w:rPr>
          <w:sz w:val="25"/>
          <w:szCs w:val="25"/>
        </w:rPr>
        <w:t xml:space="preserve"> О</w:t>
      </w:r>
      <w:r w:rsidR="00DA1AD8" w:rsidRPr="006D3B9D">
        <w:rPr>
          <w:sz w:val="25"/>
          <w:szCs w:val="25"/>
        </w:rPr>
        <w:t>.М.</w:t>
      </w:r>
      <w:r w:rsidR="00567059" w:rsidRPr="006D3B9D">
        <w:rPr>
          <w:sz w:val="25"/>
          <w:szCs w:val="25"/>
        </w:rPr>
        <w:t xml:space="preserve">, </w:t>
      </w:r>
      <w:r w:rsidR="00DA1AD8" w:rsidRPr="006D3B9D">
        <w:rPr>
          <w:sz w:val="25"/>
          <w:szCs w:val="25"/>
        </w:rPr>
        <w:t xml:space="preserve">дата </w:t>
      </w:r>
      <w:r w:rsidR="00567059" w:rsidRPr="006D3B9D">
        <w:rPr>
          <w:sz w:val="25"/>
          <w:szCs w:val="25"/>
        </w:rPr>
        <w:t>народжен</w:t>
      </w:r>
      <w:r w:rsidR="00DA1AD8" w:rsidRPr="006D3B9D">
        <w:rPr>
          <w:sz w:val="25"/>
          <w:szCs w:val="25"/>
        </w:rPr>
        <w:t>ня –</w:t>
      </w:r>
      <w:r w:rsidR="00567059" w:rsidRPr="006D3B9D">
        <w:rPr>
          <w:sz w:val="25"/>
          <w:szCs w:val="25"/>
        </w:rPr>
        <w:t xml:space="preserve"> </w:t>
      </w:r>
      <w:r w:rsidR="000D6FF8">
        <w:rPr>
          <w:sz w:val="25"/>
          <w:szCs w:val="25"/>
        </w:rPr>
        <w:t>________________</w:t>
      </w:r>
      <w:r w:rsidR="00567059" w:rsidRPr="006D3B9D">
        <w:rPr>
          <w:sz w:val="25"/>
          <w:szCs w:val="25"/>
        </w:rPr>
        <w:t>, на момент подання заяви ма</w:t>
      </w:r>
      <w:r w:rsidRPr="006D3B9D">
        <w:rPr>
          <w:sz w:val="25"/>
          <w:szCs w:val="25"/>
        </w:rPr>
        <w:t>ла</w:t>
      </w:r>
      <w:r w:rsidR="00157501" w:rsidRPr="006D3B9D">
        <w:rPr>
          <w:sz w:val="25"/>
          <w:szCs w:val="25"/>
        </w:rPr>
        <w:t xml:space="preserve"> повних</w:t>
      </w:r>
      <w:r w:rsidR="00567059" w:rsidRPr="006D3B9D">
        <w:rPr>
          <w:sz w:val="25"/>
          <w:szCs w:val="25"/>
        </w:rPr>
        <w:t xml:space="preserve"> </w:t>
      </w:r>
      <w:r w:rsidR="000D6FF8">
        <w:rPr>
          <w:sz w:val="25"/>
          <w:szCs w:val="25"/>
        </w:rPr>
        <w:t>____</w:t>
      </w:r>
      <w:r w:rsidR="00567059" w:rsidRPr="006D3B9D">
        <w:rPr>
          <w:sz w:val="25"/>
          <w:szCs w:val="25"/>
        </w:rPr>
        <w:t xml:space="preserve"> р</w:t>
      </w:r>
      <w:r w:rsidRPr="006D3B9D">
        <w:rPr>
          <w:sz w:val="25"/>
          <w:szCs w:val="25"/>
        </w:rPr>
        <w:t>оки</w:t>
      </w:r>
      <w:r w:rsidR="00567059" w:rsidRPr="006D3B9D">
        <w:rPr>
          <w:sz w:val="25"/>
          <w:szCs w:val="25"/>
        </w:rPr>
        <w:t>. Є громадян</w:t>
      </w:r>
      <w:r w:rsidRPr="006D3B9D">
        <w:rPr>
          <w:sz w:val="25"/>
          <w:szCs w:val="25"/>
        </w:rPr>
        <w:t>кою</w:t>
      </w:r>
      <w:r w:rsidR="00567059" w:rsidRPr="006D3B9D">
        <w:rPr>
          <w:sz w:val="25"/>
          <w:szCs w:val="25"/>
        </w:rPr>
        <w:t xml:space="preserve"> України. </w:t>
      </w:r>
      <w:r w:rsidR="00157501" w:rsidRPr="006D3B9D">
        <w:rPr>
          <w:sz w:val="25"/>
          <w:szCs w:val="25"/>
        </w:rPr>
        <w:t>Володіння державною мовою підтверджено сертифікатом УМД № 00</w:t>
      </w:r>
      <w:r w:rsidR="00B9666A" w:rsidRPr="006D3B9D">
        <w:rPr>
          <w:sz w:val="25"/>
          <w:szCs w:val="25"/>
        </w:rPr>
        <w:t>200455</w:t>
      </w:r>
      <w:r w:rsidR="00157501" w:rsidRPr="006D3B9D">
        <w:rPr>
          <w:sz w:val="25"/>
          <w:szCs w:val="25"/>
        </w:rPr>
        <w:t xml:space="preserve"> від </w:t>
      </w:r>
      <w:r w:rsidR="00F46047" w:rsidRPr="006D3B9D">
        <w:rPr>
          <w:sz w:val="25"/>
          <w:szCs w:val="25"/>
        </w:rPr>
        <w:t>0</w:t>
      </w:r>
      <w:r w:rsidR="00B9666A" w:rsidRPr="006D3B9D">
        <w:rPr>
          <w:sz w:val="25"/>
          <w:szCs w:val="25"/>
        </w:rPr>
        <w:t>3</w:t>
      </w:r>
      <w:r w:rsidR="00FE02D2" w:rsidRPr="006D3B9D">
        <w:rPr>
          <w:sz w:val="25"/>
          <w:szCs w:val="25"/>
        </w:rPr>
        <w:t xml:space="preserve"> </w:t>
      </w:r>
      <w:r w:rsidR="00B9666A" w:rsidRPr="006D3B9D">
        <w:rPr>
          <w:sz w:val="25"/>
          <w:szCs w:val="25"/>
        </w:rPr>
        <w:t>жовтня</w:t>
      </w:r>
      <w:r w:rsidR="00AA35A8" w:rsidRPr="006D3B9D">
        <w:rPr>
          <w:sz w:val="25"/>
          <w:szCs w:val="25"/>
        </w:rPr>
        <w:t xml:space="preserve"> </w:t>
      </w:r>
      <w:r w:rsidR="00157501" w:rsidRPr="006D3B9D">
        <w:rPr>
          <w:sz w:val="25"/>
          <w:szCs w:val="25"/>
        </w:rPr>
        <w:t>202</w:t>
      </w:r>
      <w:r w:rsidR="00657F33" w:rsidRPr="006D3B9D">
        <w:rPr>
          <w:sz w:val="25"/>
          <w:szCs w:val="25"/>
        </w:rPr>
        <w:t>3</w:t>
      </w:r>
      <w:r w:rsidR="007E241B" w:rsidRPr="006D3B9D">
        <w:rPr>
          <w:sz w:val="25"/>
          <w:szCs w:val="25"/>
        </w:rPr>
        <w:t> </w:t>
      </w:r>
      <w:r w:rsidR="00AA35A8" w:rsidRPr="006D3B9D">
        <w:rPr>
          <w:sz w:val="25"/>
          <w:szCs w:val="25"/>
        </w:rPr>
        <w:t>року</w:t>
      </w:r>
      <w:r w:rsidR="00157501" w:rsidRPr="006D3B9D">
        <w:rPr>
          <w:sz w:val="25"/>
          <w:szCs w:val="25"/>
        </w:rPr>
        <w:t xml:space="preserve"> на рівні вільного володіння (</w:t>
      </w:r>
      <w:r w:rsidR="00B9666A" w:rsidRPr="006D3B9D">
        <w:rPr>
          <w:sz w:val="25"/>
          <w:szCs w:val="25"/>
        </w:rPr>
        <w:t>перший</w:t>
      </w:r>
      <w:r w:rsidR="00157501" w:rsidRPr="006D3B9D">
        <w:rPr>
          <w:sz w:val="25"/>
          <w:szCs w:val="25"/>
        </w:rPr>
        <w:t xml:space="preserve"> ступінь). Станом на дату проведення співбесіди кандида</w:t>
      </w:r>
      <w:r w:rsidR="00C16E26" w:rsidRPr="006D3B9D">
        <w:rPr>
          <w:sz w:val="25"/>
          <w:szCs w:val="25"/>
        </w:rPr>
        <w:t>т</w:t>
      </w:r>
      <w:r w:rsidR="00B9666A" w:rsidRPr="006D3B9D">
        <w:rPr>
          <w:sz w:val="25"/>
          <w:szCs w:val="25"/>
        </w:rPr>
        <w:t>ка</w:t>
      </w:r>
      <w:r w:rsidR="00157501" w:rsidRPr="006D3B9D">
        <w:rPr>
          <w:sz w:val="25"/>
          <w:szCs w:val="25"/>
        </w:rPr>
        <w:t xml:space="preserve"> є несудим</w:t>
      </w:r>
      <w:r w:rsidR="00B9666A" w:rsidRPr="006D3B9D">
        <w:rPr>
          <w:sz w:val="25"/>
          <w:szCs w:val="25"/>
        </w:rPr>
        <w:t>ою</w:t>
      </w:r>
      <w:r w:rsidR="00157501" w:rsidRPr="006D3B9D">
        <w:rPr>
          <w:sz w:val="25"/>
          <w:szCs w:val="25"/>
        </w:rPr>
        <w:t xml:space="preserve"> (відповідно до довідки/витягу з Є</w:t>
      </w:r>
      <w:r w:rsidR="00DA1AD8" w:rsidRPr="006D3B9D">
        <w:rPr>
          <w:sz w:val="25"/>
          <w:szCs w:val="25"/>
        </w:rPr>
        <w:t>диного реєстру досудових розслідувань</w:t>
      </w:r>
      <w:r w:rsidR="00157501" w:rsidRPr="006D3B9D">
        <w:rPr>
          <w:sz w:val="25"/>
          <w:szCs w:val="25"/>
        </w:rPr>
        <w:t xml:space="preserve">, наданої в межах спеціальної перевірки). </w:t>
      </w:r>
    </w:p>
    <w:p w14:paraId="64212A33" w14:textId="6C3B6D51" w:rsidR="006B5519" w:rsidRPr="006D3B9D"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Повну вищу юридичну освіту </w:t>
      </w:r>
      <w:proofErr w:type="spellStart"/>
      <w:r w:rsidR="00B9666A" w:rsidRPr="006D3B9D">
        <w:rPr>
          <w:sz w:val="25"/>
          <w:szCs w:val="25"/>
        </w:rPr>
        <w:t>Косогор</w:t>
      </w:r>
      <w:proofErr w:type="spellEnd"/>
      <w:r w:rsidR="005E75DF" w:rsidRPr="006D3B9D">
        <w:rPr>
          <w:sz w:val="25"/>
          <w:szCs w:val="25"/>
        </w:rPr>
        <w:t xml:space="preserve"> </w:t>
      </w:r>
      <w:r w:rsidR="00B9666A" w:rsidRPr="006D3B9D">
        <w:rPr>
          <w:sz w:val="25"/>
          <w:szCs w:val="25"/>
        </w:rPr>
        <w:t>О</w:t>
      </w:r>
      <w:r w:rsidR="005E75DF" w:rsidRPr="006D3B9D">
        <w:rPr>
          <w:sz w:val="25"/>
          <w:szCs w:val="25"/>
        </w:rPr>
        <w:t>.</w:t>
      </w:r>
      <w:r w:rsidR="00B9666A" w:rsidRPr="006D3B9D">
        <w:rPr>
          <w:sz w:val="25"/>
          <w:szCs w:val="25"/>
        </w:rPr>
        <w:t>М</w:t>
      </w:r>
      <w:r w:rsidR="005E75DF" w:rsidRPr="006D3B9D">
        <w:rPr>
          <w:sz w:val="25"/>
          <w:szCs w:val="25"/>
        </w:rPr>
        <w:t xml:space="preserve">. </w:t>
      </w:r>
      <w:r w:rsidRPr="006D3B9D">
        <w:rPr>
          <w:sz w:val="25"/>
          <w:szCs w:val="25"/>
        </w:rPr>
        <w:t>здобу</w:t>
      </w:r>
      <w:r w:rsidR="00B9666A" w:rsidRPr="006D3B9D">
        <w:rPr>
          <w:sz w:val="25"/>
          <w:szCs w:val="25"/>
        </w:rPr>
        <w:t>ла</w:t>
      </w:r>
      <w:r w:rsidRPr="006D3B9D">
        <w:rPr>
          <w:sz w:val="25"/>
          <w:szCs w:val="25"/>
        </w:rPr>
        <w:t xml:space="preserve"> у</w:t>
      </w:r>
      <w:r w:rsidR="00567059" w:rsidRPr="006D3B9D">
        <w:rPr>
          <w:sz w:val="25"/>
          <w:szCs w:val="25"/>
        </w:rPr>
        <w:t xml:space="preserve"> </w:t>
      </w:r>
      <w:r w:rsidR="007E241B" w:rsidRPr="006D3B9D">
        <w:rPr>
          <w:sz w:val="25"/>
          <w:szCs w:val="25"/>
        </w:rPr>
        <w:t>200</w:t>
      </w:r>
      <w:r w:rsidR="00B9666A" w:rsidRPr="006D3B9D">
        <w:rPr>
          <w:sz w:val="25"/>
          <w:szCs w:val="25"/>
        </w:rPr>
        <w:t>1</w:t>
      </w:r>
      <w:r w:rsidR="00567059" w:rsidRPr="006D3B9D">
        <w:rPr>
          <w:sz w:val="25"/>
          <w:szCs w:val="25"/>
        </w:rPr>
        <w:t xml:space="preserve"> роц</w:t>
      </w:r>
      <w:r w:rsidR="00B9666A" w:rsidRPr="006D3B9D">
        <w:rPr>
          <w:sz w:val="25"/>
          <w:szCs w:val="25"/>
        </w:rPr>
        <w:t xml:space="preserve">і </w:t>
      </w:r>
      <w:r w:rsidR="00F46047" w:rsidRPr="006D3B9D">
        <w:rPr>
          <w:sz w:val="25"/>
          <w:szCs w:val="25"/>
        </w:rPr>
        <w:t>Київськ</w:t>
      </w:r>
      <w:r w:rsidR="00B9666A" w:rsidRPr="006D3B9D">
        <w:rPr>
          <w:sz w:val="25"/>
          <w:szCs w:val="25"/>
        </w:rPr>
        <w:t>ому</w:t>
      </w:r>
      <w:r w:rsidR="00F46047" w:rsidRPr="006D3B9D">
        <w:rPr>
          <w:sz w:val="25"/>
          <w:szCs w:val="25"/>
        </w:rPr>
        <w:t xml:space="preserve"> університет</w:t>
      </w:r>
      <w:r w:rsidR="00CB2F2E" w:rsidRPr="006D3B9D">
        <w:rPr>
          <w:sz w:val="25"/>
          <w:szCs w:val="25"/>
        </w:rPr>
        <w:t>і</w:t>
      </w:r>
      <w:r w:rsidR="00F46047" w:rsidRPr="006D3B9D">
        <w:rPr>
          <w:sz w:val="25"/>
          <w:szCs w:val="25"/>
        </w:rPr>
        <w:t xml:space="preserve"> туризму, економіки і права</w:t>
      </w:r>
      <w:r w:rsidR="005E75DF" w:rsidRPr="006D3B9D">
        <w:rPr>
          <w:sz w:val="25"/>
          <w:szCs w:val="25"/>
        </w:rPr>
        <w:t>,</w:t>
      </w:r>
      <w:r w:rsidRPr="006D3B9D">
        <w:rPr>
          <w:sz w:val="25"/>
          <w:szCs w:val="25"/>
        </w:rPr>
        <w:t xml:space="preserve"> отрима</w:t>
      </w:r>
      <w:r w:rsidR="00CB2F2E" w:rsidRPr="006D3B9D">
        <w:rPr>
          <w:sz w:val="25"/>
          <w:szCs w:val="25"/>
        </w:rPr>
        <w:t>ла</w:t>
      </w:r>
      <w:r w:rsidRPr="006D3B9D">
        <w:rPr>
          <w:sz w:val="25"/>
          <w:szCs w:val="25"/>
        </w:rPr>
        <w:t xml:space="preserve"> диплом за спеціальністю «Правознавство»</w:t>
      </w:r>
      <w:r w:rsidR="00330CC4" w:rsidRPr="006D3B9D">
        <w:rPr>
          <w:sz w:val="25"/>
          <w:szCs w:val="25"/>
        </w:rPr>
        <w:t xml:space="preserve"> та здобу</w:t>
      </w:r>
      <w:r w:rsidR="00DA1AD8" w:rsidRPr="006D3B9D">
        <w:rPr>
          <w:sz w:val="25"/>
          <w:szCs w:val="25"/>
        </w:rPr>
        <w:t>ла</w:t>
      </w:r>
      <w:r w:rsidR="00330CC4" w:rsidRPr="006D3B9D">
        <w:rPr>
          <w:sz w:val="25"/>
          <w:szCs w:val="25"/>
        </w:rPr>
        <w:t xml:space="preserve"> кваліфікацію юриста</w:t>
      </w:r>
      <w:r w:rsidR="006B5519" w:rsidRPr="006D3B9D">
        <w:rPr>
          <w:sz w:val="25"/>
          <w:szCs w:val="25"/>
        </w:rPr>
        <w:t>.</w:t>
      </w:r>
    </w:p>
    <w:p w14:paraId="50B36608" w14:textId="1EAE92C3" w:rsidR="00157501" w:rsidRPr="006D3B9D" w:rsidRDefault="00567059" w:rsidP="00254B0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Стаж професійної діяльності у сфері права перевищує </w:t>
      </w:r>
      <w:r w:rsidR="002275D5" w:rsidRPr="006D3B9D">
        <w:rPr>
          <w:sz w:val="25"/>
          <w:szCs w:val="25"/>
        </w:rPr>
        <w:t>1</w:t>
      </w:r>
      <w:r w:rsidR="00160121" w:rsidRPr="006D3B9D">
        <w:rPr>
          <w:sz w:val="25"/>
          <w:szCs w:val="25"/>
        </w:rPr>
        <w:t>8</w:t>
      </w:r>
      <w:r w:rsidRPr="006D3B9D">
        <w:rPr>
          <w:sz w:val="25"/>
          <w:szCs w:val="25"/>
        </w:rPr>
        <w:t xml:space="preserve"> рок</w:t>
      </w:r>
      <w:r w:rsidR="002275D5" w:rsidRPr="006D3B9D">
        <w:rPr>
          <w:sz w:val="25"/>
          <w:szCs w:val="25"/>
        </w:rPr>
        <w:t>ів</w:t>
      </w:r>
      <w:r w:rsidRPr="006D3B9D">
        <w:rPr>
          <w:sz w:val="25"/>
          <w:szCs w:val="25"/>
        </w:rPr>
        <w:t>.</w:t>
      </w:r>
      <w:r w:rsidR="00254B01" w:rsidRPr="006D3B9D">
        <w:rPr>
          <w:sz w:val="25"/>
          <w:szCs w:val="25"/>
        </w:rPr>
        <w:t xml:space="preserve"> Після </w:t>
      </w:r>
      <w:r w:rsidR="001C1E9E" w:rsidRPr="006D3B9D">
        <w:rPr>
          <w:sz w:val="25"/>
          <w:szCs w:val="25"/>
        </w:rPr>
        <w:t>здо</w:t>
      </w:r>
      <w:r w:rsidR="00254B01" w:rsidRPr="006D3B9D">
        <w:rPr>
          <w:sz w:val="25"/>
          <w:szCs w:val="25"/>
        </w:rPr>
        <w:t xml:space="preserve">буття вищої юридичної освіти </w:t>
      </w:r>
      <w:proofErr w:type="spellStart"/>
      <w:r w:rsidR="00CB2F2E" w:rsidRPr="006D3B9D">
        <w:rPr>
          <w:sz w:val="25"/>
          <w:szCs w:val="25"/>
        </w:rPr>
        <w:t>Косогор</w:t>
      </w:r>
      <w:proofErr w:type="spellEnd"/>
      <w:r w:rsidR="00254B01" w:rsidRPr="006D3B9D">
        <w:rPr>
          <w:sz w:val="25"/>
          <w:szCs w:val="25"/>
        </w:rPr>
        <w:t xml:space="preserve"> </w:t>
      </w:r>
      <w:r w:rsidR="00621CAE" w:rsidRPr="006D3B9D">
        <w:rPr>
          <w:sz w:val="25"/>
          <w:szCs w:val="25"/>
        </w:rPr>
        <w:t>О</w:t>
      </w:r>
      <w:r w:rsidR="00254B01" w:rsidRPr="006D3B9D">
        <w:rPr>
          <w:sz w:val="25"/>
          <w:szCs w:val="25"/>
        </w:rPr>
        <w:t>.</w:t>
      </w:r>
      <w:r w:rsidR="00CB2F2E" w:rsidRPr="006D3B9D">
        <w:rPr>
          <w:sz w:val="25"/>
          <w:szCs w:val="25"/>
        </w:rPr>
        <w:t>М</w:t>
      </w:r>
      <w:r w:rsidR="00254B01" w:rsidRPr="006D3B9D">
        <w:rPr>
          <w:sz w:val="25"/>
          <w:szCs w:val="25"/>
        </w:rPr>
        <w:t>. обійма</w:t>
      </w:r>
      <w:r w:rsidR="00CB2F2E" w:rsidRPr="006D3B9D">
        <w:rPr>
          <w:sz w:val="25"/>
          <w:szCs w:val="25"/>
        </w:rPr>
        <w:t>ла</w:t>
      </w:r>
      <w:r w:rsidR="00254B01" w:rsidRPr="006D3B9D">
        <w:rPr>
          <w:sz w:val="25"/>
          <w:szCs w:val="25"/>
        </w:rPr>
        <w:t xml:space="preserve"> такі посади: </w:t>
      </w:r>
      <w:r w:rsidR="006B5519" w:rsidRPr="006D3B9D">
        <w:rPr>
          <w:sz w:val="25"/>
          <w:szCs w:val="25"/>
        </w:rPr>
        <w:t>з</w:t>
      </w:r>
      <w:r w:rsidRPr="006D3B9D">
        <w:rPr>
          <w:sz w:val="25"/>
          <w:szCs w:val="25"/>
        </w:rPr>
        <w:t xml:space="preserve"> </w:t>
      </w:r>
      <w:r w:rsidR="006B5519" w:rsidRPr="006D3B9D">
        <w:rPr>
          <w:sz w:val="25"/>
          <w:szCs w:val="25"/>
        </w:rPr>
        <w:t>200</w:t>
      </w:r>
      <w:r w:rsidR="00CB2F2E" w:rsidRPr="006D3B9D">
        <w:rPr>
          <w:sz w:val="25"/>
          <w:szCs w:val="25"/>
        </w:rPr>
        <w:t>0</w:t>
      </w:r>
      <w:r w:rsidR="001C1E9E" w:rsidRPr="006D3B9D">
        <w:rPr>
          <w:sz w:val="25"/>
          <w:szCs w:val="25"/>
        </w:rPr>
        <w:t xml:space="preserve"> ро</w:t>
      </w:r>
      <w:r w:rsidR="006B5519" w:rsidRPr="006D3B9D">
        <w:rPr>
          <w:sz w:val="25"/>
          <w:szCs w:val="25"/>
        </w:rPr>
        <w:t>ку до 20</w:t>
      </w:r>
      <w:r w:rsidR="00F46047" w:rsidRPr="006D3B9D">
        <w:rPr>
          <w:sz w:val="25"/>
          <w:szCs w:val="25"/>
        </w:rPr>
        <w:t>0</w:t>
      </w:r>
      <w:r w:rsidR="00CB2F2E" w:rsidRPr="006D3B9D">
        <w:rPr>
          <w:sz w:val="25"/>
          <w:szCs w:val="25"/>
        </w:rPr>
        <w:t>1</w:t>
      </w:r>
      <w:r w:rsidR="00D91FF6" w:rsidRPr="006D3B9D">
        <w:rPr>
          <w:sz w:val="25"/>
          <w:szCs w:val="25"/>
        </w:rPr>
        <w:t> </w:t>
      </w:r>
      <w:r w:rsidR="006B5519" w:rsidRPr="006D3B9D">
        <w:rPr>
          <w:sz w:val="25"/>
          <w:szCs w:val="25"/>
        </w:rPr>
        <w:t>року</w:t>
      </w:r>
      <w:r w:rsidR="00254B01" w:rsidRPr="006D3B9D">
        <w:rPr>
          <w:sz w:val="25"/>
          <w:szCs w:val="25"/>
        </w:rPr>
        <w:t xml:space="preserve"> –</w:t>
      </w:r>
      <w:r w:rsidRPr="006D3B9D">
        <w:rPr>
          <w:sz w:val="25"/>
          <w:szCs w:val="25"/>
        </w:rPr>
        <w:t xml:space="preserve"> </w:t>
      </w:r>
      <w:r w:rsidR="00CB2F2E" w:rsidRPr="006D3B9D">
        <w:rPr>
          <w:sz w:val="25"/>
          <w:szCs w:val="25"/>
        </w:rPr>
        <w:t>головний</w:t>
      </w:r>
      <w:r w:rsidR="00F46047" w:rsidRPr="006D3B9D">
        <w:rPr>
          <w:sz w:val="25"/>
          <w:szCs w:val="25"/>
        </w:rPr>
        <w:t xml:space="preserve"> юрисконсульт</w:t>
      </w:r>
      <w:r w:rsidR="006B5519" w:rsidRPr="006D3B9D">
        <w:rPr>
          <w:sz w:val="25"/>
          <w:szCs w:val="25"/>
        </w:rPr>
        <w:t xml:space="preserve"> </w:t>
      </w:r>
      <w:r w:rsidR="00CB2F2E" w:rsidRPr="006D3B9D">
        <w:rPr>
          <w:sz w:val="25"/>
          <w:szCs w:val="25"/>
        </w:rPr>
        <w:t>в</w:t>
      </w:r>
      <w:r w:rsidR="00621CAE" w:rsidRPr="006D3B9D">
        <w:rPr>
          <w:sz w:val="25"/>
          <w:szCs w:val="25"/>
        </w:rPr>
        <w:t xml:space="preserve"> </w:t>
      </w:r>
      <w:r w:rsidR="00CB2F2E" w:rsidRPr="006D3B9D">
        <w:rPr>
          <w:sz w:val="25"/>
          <w:szCs w:val="25"/>
        </w:rPr>
        <w:t>Українському об’єднанні державних промислових підприємств залізничного транспорту</w:t>
      </w:r>
      <w:r w:rsidR="00254B01" w:rsidRPr="006D3B9D">
        <w:rPr>
          <w:sz w:val="25"/>
          <w:szCs w:val="25"/>
        </w:rPr>
        <w:t>;</w:t>
      </w:r>
      <w:r w:rsidRPr="006D3B9D">
        <w:rPr>
          <w:sz w:val="25"/>
          <w:szCs w:val="25"/>
        </w:rPr>
        <w:t xml:space="preserve"> </w:t>
      </w:r>
      <w:r w:rsidR="00CB2F2E" w:rsidRPr="006D3B9D">
        <w:rPr>
          <w:sz w:val="25"/>
          <w:szCs w:val="25"/>
        </w:rPr>
        <w:t>з</w:t>
      </w:r>
      <w:r w:rsidRPr="006D3B9D">
        <w:rPr>
          <w:sz w:val="25"/>
          <w:szCs w:val="25"/>
        </w:rPr>
        <w:t xml:space="preserve"> </w:t>
      </w:r>
      <w:r w:rsidR="006B5519" w:rsidRPr="006D3B9D">
        <w:rPr>
          <w:sz w:val="25"/>
          <w:szCs w:val="25"/>
        </w:rPr>
        <w:t>20</w:t>
      </w:r>
      <w:r w:rsidR="00CB2F2E" w:rsidRPr="006D3B9D">
        <w:rPr>
          <w:sz w:val="25"/>
          <w:szCs w:val="25"/>
        </w:rPr>
        <w:t>02</w:t>
      </w:r>
      <w:r w:rsidR="006B5519" w:rsidRPr="006D3B9D">
        <w:rPr>
          <w:sz w:val="25"/>
          <w:szCs w:val="25"/>
        </w:rPr>
        <w:t xml:space="preserve"> </w:t>
      </w:r>
      <w:r w:rsidRPr="006D3B9D">
        <w:rPr>
          <w:sz w:val="25"/>
          <w:szCs w:val="25"/>
        </w:rPr>
        <w:t>ро</w:t>
      </w:r>
      <w:r w:rsidR="00CB2F2E" w:rsidRPr="006D3B9D">
        <w:rPr>
          <w:sz w:val="25"/>
          <w:szCs w:val="25"/>
        </w:rPr>
        <w:t>ку до 2003 року</w:t>
      </w:r>
      <w:r w:rsidR="00254B01" w:rsidRPr="006D3B9D">
        <w:rPr>
          <w:sz w:val="25"/>
          <w:szCs w:val="25"/>
        </w:rPr>
        <w:t xml:space="preserve"> – </w:t>
      </w:r>
      <w:r w:rsidR="00CB2F2E" w:rsidRPr="006D3B9D">
        <w:rPr>
          <w:sz w:val="25"/>
          <w:szCs w:val="25"/>
        </w:rPr>
        <w:t xml:space="preserve">головний </w:t>
      </w:r>
      <w:r w:rsidR="00621CAE" w:rsidRPr="006D3B9D">
        <w:rPr>
          <w:sz w:val="25"/>
          <w:szCs w:val="25"/>
        </w:rPr>
        <w:t>юрис</w:t>
      </w:r>
      <w:r w:rsidR="00251B06" w:rsidRPr="006D3B9D">
        <w:rPr>
          <w:sz w:val="25"/>
          <w:szCs w:val="25"/>
        </w:rPr>
        <w:t xml:space="preserve">консульт </w:t>
      </w:r>
      <w:r w:rsidR="00CB2F2E" w:rsidRPr="006D3B9D">
        <w:rPr>
          <w:sz w:val="25"/>
          <w:szCs w:val="25"/>
        </w:rPr>
        <w:t>у Державній холдинговій компанії «</w:t>
      </w:r>
      <w:proofErr w:type="spellStart"/>
      <w:r w:rsidR="00CB2F2E" w:rsidRPr="006D3B9D">
        <w:rPr>
          <w:sz w:val="25"/>
          <w:szCs w:val="25"/>
        </w:rPr>
        <w:t>Укрзалізреммаш</w:t>
      </w:r>
      <w:proofErr w:type="spellEnd"/>
      <w:r w:rsidR="00CB2F2E" w:rsidRPr="006D3B9D">
        <w:rPr>
          <w:sz w:val="25"/>
          <w:szCs w:val="25"/>
        </w:rPr>
        <w:t>»;</w:t>
      </w:r>
      <w:r w:rsidR="00DA1AD8" w:rsidRPr="006D3B9D">
        <w:rPr>
          <w:sz w:val="25"/>
          <w:szCs w:val="25"/>
        </w:rPr>
        <w:t xml:space="preserve"> </w:t>
      </w:r>
      <w:r w:rsidR="00621CAE" w:rsidRPr="006D3B9D">
        <w:rPr>
          <w:sz w:val="25"/>
          <w:szCs w:val="25"/>
        </w:rPr>
        <w:t>у</w:t>
      </w:r>
      <w:r w:rsidR="00A203C2" w:rsidRPr="006D3B9D">
        <w:rPr>
          <w:sz w:val="25"/>
          <w:szCs w:val="25"/>
        </w:rPr>
        <w:t xml:space="preserve"> </w:t>
      </w:r>
      <w:r w:rsidR="006B5519" w:rsidRPr="006D3B9D">
        <w:rPr>
          <w:sz w:val="25"/>
          <w:szCs w:val="25"/>
        </w:rPr>
        <w:t>20</w:t>
      </w:r>
      <w:r w:rsidR="00CB2F2E" w:rsidRPr="006D3B9D">
        <w:rPr>
          <w:sz w:val="25"/>
          <w:szCs w:val="25"/>
        </w:rPr>
        <w:t>03</w:t>
      </w:r>
      <w:r w:rsidR="00A203C2" w:rsidRPr="006D3B9D">
        <w:rPr>
          <w:sz w:val="25"/>
          <w:szCs w:val="25"/>
        </w:rPr>
        <w:t xml:space="preserve"> </w:t>
      </w:r>
      <w:r w:rsidR="00FD4135" w:rsidRPr="006D3B9D">
        <w:rPr>
          <w:sz w:val="25"/>
          <w:szCs w:val="25"/>
        </w:rPr>
        <w:t>ро</w:t>
      </w:r>
      <w:r w:rsidR="00621CAE" w:rsidRPr="006D3B9D">
        <w:rPr>
          <w:sz w:val="25"/>
          <w:szCs w:val="25"/>
        </w:rPr>
        <w:t>ці</w:t>
      </w:r>
      <w:r w:rsidR="00724FAE" w:rsidRPr="006D3B9D">
        <w:rPr>
          <w:sz w:val="25"/>
          <w:szCs w:val="25"/>
        </w:rPr>
        <w:t xml:space="preserve"> </w:t>
      </w:r>
      <w:r w:rsidR="00D91FF6" w:rsidRPr="006D3B9D">
        <w:rPr>
          <w:sz w:val="25"/>
          <w:szCs w:val="25"/>
        </w:rPr>
        <w:t>–</w:t>
      </w:r>
      <w:r w:rsidR="00251B06" w:rsidRPr="006D3B9D">
        <w:rPr>
          <w:sz w:val="25"/>
          <w:szCs w:val="25"/>
        </w:rPr>
        <w:t xml:space="preserve"> </w:t>
      </w:r>
      <w:r w:rsidR="00621CAE" w:rsidRPr="006D3B9D">
        <w:rPr>
          <w:sz w:val="25"/>
          <w:szCs w:val="25"/>
        </w:rPr>
        <w:t xml:space="preserve">юрисконсульт </w:t>
      </w:r>
      <w:r w:rsidR="00251B06" w:rsidRPr="006D3B9D">
        <w:rPr>
          <w:sz w:val="25"/>
          <w:szCs w:val="25"/>
        </w:rPr>
        <w:t xml:space="preserve">у </w:t>
      </w:r>
      <w:r w:rsidR="00CB2F2E" w:rsidRPr="006D3B9D">
        <w:rPr>
          <w:rStyle w:val="fontstyle01"/>
          <w:rFonts w:ascii="Times New Roman" w:eastAsiaTheme="majorEastAsia" w:hAnsi="Times New Roman"/>
          <w:sz w:val="25"/>
          <w:szCs w:val="25"/>
        </w:rPr>
        <w:t>ВАТ</w:t>
      </w:r>
      <w:r w:rsidR="00DA1AD8" w:rsidRPr="006D3B9D">
        <w:rPr>
          <w:rStyle w:val="fontstyle01"/>
          <w:rFonts w:ascii="Times New Roman" w:eastAsiaTheme="majorEastAsia" w:hAnsi="Times New Roman"/>
          <w:sz w:val="25"/>
          <w:szCs w:val="25"/>
        </w:rPr>
        <w:t> </w:t>
      </w:r>
      <w:r w:rsidR="00CB2F2E" w:rsidRPr="006D3B9D">
        <w:rPr>
          <w:rStyle w:val="fontstyle01"/>
          <w:rFonts w:ascii="Times New Roman" w:eastAsiaTheme="majorEastAsia" w:hAnsi="Times New Roman"/>
          <w:sz w:val="25"/>
          <w:szCs w:val="25"/>
        </w:rPr>
        <w:t xml:space="preserve">«Київський електротехнічний завод </w:t>
      </w:r>
      <w:proofErr w:type="spellStart"/>
      <w:r w:rsidR="00CB2F2E" w:rsidRPr="006D3B9D">
        <w:rPr>
          <w:rStyle w:val="fontstyle01"/>
          <w:rFonts w:ascii="Times New Roman" w:eastAsiaTheme="majorEastAsia" w:hAnsi="Times New Roman"/>
          <w:sz w:val="25"/>
          <w:szCs w:val="25"/>
        </w:rPr>
        <w:t>Транссигнал</w:t>
      </w:r>
      <w:proofErr w:type="spellEnd"/>
      <w:r w:rsidR="00251B06" w:rsidRPr="006D3B9D">
        <w:rPr>
          <w:sz w:val="25"/>
          <w:szCs w:val="25"/>
        </w:rPr>
        <w:t>»</w:t>
      </w:r>
      <w:r w:rsidR="00724FAE" w:rsidRPr="006D3B9D">
        <w:rPr>
          <w:sz w:val="25"/>
          <w:szCs w:val="25"/>
        </w:rPr>
        <w:t xml:space="preserve">; </w:t>
      </w:r>
      <w:r w:rsidR="00CB2F2E" w:rsidRPr="006D3B9D">
        <w:rPr>
          <w:sz w:val="25"/>
          <w:szCs w:val="25"/>
        </w:rPr>
        <w:t>з</w:t>
      </w:r>
      <w:r w:rsidR="00621CAE" w:rsidRPr="006D3B9D">
        <w:rPr>
          <w:sz w:val="25"/>
          <w:szCs w:val="25"/>
        </w:rPr>
        <w:t xml:space="preserve"> </w:t>
      </w:r>
      <w:r w:rsidR="00724FAE" w:rsidRPr="006D3B9D">
        <w:rPr>
          <w:sz w:val="25"/>
          <w:szCs w:val="25"/>
        </w:rPr>
        <w:t>20</w:t>
      </w:r>
      <w:r w:rsidR="00CB2F2E" w:rsidRPr="006D3B9D">
        <w:rPr>
          <w:sz w:val="25"/>
          <w:szCs w:val="25"/>
        </w:rPr>
        <w:t>03</w:t>
      </w:r>
      <w:r w:rsidR="009116A6" w:rsidRPr="006D3B9D">
        <w:rPr>
          <w:sz w:val="25"/>
          <w:szCs w:val="25"/>
        </w:rPr>
        <w:t> </w:t>
      </w:r>
      <w:r w:rsidR="006B5519" w:rsidRPr="006D3B9D">
        <w:rPr>
          <w:sz w:val="25"/>
          <w:szCs w:val="25"/>
        </w:rPr>
        <w:t>ро</w:t>
      </w:r>
      <w:r w:rsidR="00CB2F2E" w:rsidRPr="006D3B9D">
        <w:rPr>
          <w:sz w:val="25"/>
          <w:szCs w:val="25"/>
        </w:rPr>
        <w:t>ку до 2005 року</w:t>
      </w:r>
      <w:r w:rsidR="00724FAE" w:rsidRPr="006D3B9D">
        <w:rPr>
          <w:sz w:val="25"/>
          <w:szCs w:val="25"/>
        </w:rPr>
        <w:t xml:space="preserve"> </w:t>
      </w:r>
      <w:r w:rsidR="00D91FF6" w:rsidRPr="006D3B9D">
        <w:rPr>
          <w:sz w:val="25"/>
          <w:szCs w:val="25"/>
        </w:rPr>
        <w:t xml:space="preserve">– </w:t>
      </w:r>
      <w:r w:rsidR="00CB2F2E" w:rsidRPr="006D3B9D">
        <w:rPr>
          <w:sz w:val="25"/>
          <w:szCs w:val="25"/>
        </w:rPr>
        <w:t>державний податковий інспектор,</w:t>
      </w:r>
      <w:r w:rsidR="00DA1AD8" w:rsidRPr="006D3B9D">
        <w:rPr>
          <w:sz w:val="25"/>
          <w:szCs w:val="25"/>
        </w:rPr>
        <w:t xml:space="preserve"> надалі –</w:t>
      </w:r>
      <w:r w:rsidR="00CB2F2E" w:rsidRPr="006D3B9D">
        <w:rPr>
          <w:sz w:val="25"/>
          <w:szCs w:val="25"/>
        </w:rPr>
        <w:t xml:space="preserve"> начальник відділу правового забезпечення у Бориспільській об’єднаній державній податковій інспекції</w:t>
      </w:r>
      <w:r w:rsidR="00724FAE" w:rsidRPr="006D3B9D">
        <w:rPr>
          <w:sz w:val="25"/>
          <w:szCs w:val="25"/>
        </w:rPr>
        <w:t>; з 20</w:t>
      </w:r>
      <w:r w:rsidR="00621CAE" w:rsidRPr="006D3B9D">
        <w:rPr>
          <w:sz w:val="25"/>
          <w:szCs w:val="25"/>
        </w:rPr>
        <w:t>1</w:t>
      </w:r>
      <w:r w:rsidR="00CB2F2E" w:rsidRPr="006D3B9D">
        <w:rPr>
          <w:sz w:val="25"/>
          <w:szCs w:val="25"/>
        </w:rPr>
        <w:t>1</w:t>
      </w:r>
      <w:r w:rsidR="00724FAE" w:rsidRPr="006D3B9D">
        <w:rPr>
          <w:sz w:val="25"/>
          <w:szCs w:val="25"/>
        </w:rPr>
        <w:t xml:space="preserve"> року до 20</w:t>
      </w:r>
      <w:r w:rsidR="00CB2F2E" w:rsidRPr="006D3B9D">
        <w:rPr>
          <w:sz w:val="25"/>
          <w:szCs w:val="25"/>
        </w:rPr>
        <w:t>23</w:t>
      </w:r>
      <w:r w:rsidR="00724FAE" w:rsidRPr="006D3B9D">
        <w:rPr>
          <w:sz w:val="25"/>
          <w:szCs w:val="25"/>
        </w:rPr>
        <w:t xml:space="preserve"> </w:t>
      </w:r>
      <w:r w:rsidR="00621CAE" w:rsidRPr="006D3B9D">
        <w:rPr>
          <w:sz w:val="25"/>
          <w:szCs w:val="25"/>
        </w:rPr>
        <w:t xml:space="preserve">– </w:t>
      </w:r>
      <w:r w:rsidR="00251B06" w:rsidRPr="006D3B9D">
        <w:rPr>
          <w:sz w:val="25"/>
          <w:szCs w:val="25"/>
        </w:rPr>
        <w:t>адвокат</w:t>
      </w:r>
      <w:r w:rsidR="00CB2F2E" w:rsidRPr="006D3B9D">
        <w:rPr>
          <w:sz w:val="25"/>
          <w:szCs w:val="25"/>
        </w:rPr>
        <w:t>.</w:t>
      </w:r>
    </w:p>
    <w:p w14:paraId="64E49884" w14:textId="3F01887E" w:rsidR="003E1E05" w:rsidRPr="006D3B9D" w:rsidRDefault="003E1E05" w:rsidP="009D54E8">
      <w:pPr>
        <w:jc w:val="both"/>
        <w:rPr>
          <w:b/>
          <w:sz w:val="25"/>
          <w:szCs w:val="25"/>
        </w:rPr>
      </w:pPr>
      <w:r w:rsidRPr="006D3B9D">
        <w:rPr>
          <w:b/>
          <w:sz w:val="25"/>
          <w:szCs w:val="25"/>
        </w:rPr>
        <w:t xml:space="preserve">ІІІ. </w:t>
      </w:r>
      <w:r w:rsidR="00A90549" w:rsidRPr="006D3B9D">
        <w:rPr>
          <w:b/>
          <w:sz w:val="25"/>
          <w:szCs w:val="25"/>
        </w:rPr>
        <w:t>Складання кваліфікаційного іспиту (в</w:t>
      </w:r>
      <w:r w:rsidR="00B43121" w:rsidRPr="006D3B9D">
        <w:rPr>
          <w:b/>
          <w:sz w:val="25"/>
          <w:szCs w:val="25"/>
        </w:rPr>
        <w:t>становлення відповідності кандидата критерію</w:t>
      </w:r>
      <w:r w:rsidRPr="006D3B9D">
        <w:rPr>
          <w:b/>
          <w:sz w:val="25"/>
          <w:szCs w:val="25"/>
        </w:rPr>
        <w:t xml:space="preserve"> професійної компетентності</w:t>
      </w:r>
      <w:r w:rsidR="00A90549" w:rsidRPr="006D3B9D">
        <w:rPr>
          <w:b/>
          <w:sz w:val="25"/>
          <w:szCs w:val="25"/>
        </w:rPr>
        <w:t>)</w:t>
      </w:r>
      <w:r w:rsidRPr="006D3B9D">
        <w:rPr>
          <w:b/>
          <w:sz w:val="25"/>
          <w:szCs w:val="25"/>
        </w:rPr>
        <w:t xml:space="preserve">. </w:t>
      </w:r>
    </w:p>
    <w:p w14:paraId="357BE5EE" w14:textId="77777777" w:rsidR="003E1E05" w:rsidRPr="006D3B9D" w:rsidRDefault="003E1E05" w:rsidP="009D54E8">
      <w:pPr>
        <w:jc w:val="both"/>
        <w:rPr>
          <w:b/>
          <w:sz w:val="25"/>
          <w:szCs w:val="25"/>
        </w:rPr>
      </w:pPr>
    </w:p>
    <w:p w14:paraId="690127C2" w14:textId="27FF37FB" w:rsidR="003E1E05" w:rsidRPr="006D3B9D"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ст</w:t>
      </w:r>
      <w:r w:rsidR="00D463CA" w:rsidRPr="006D3B9D">
        <w:rPr>
          <w:sz w:val="25"/>
          <w:szCs w:val="25"/>
        </w:rPr>
        <w:t>атті</w:t>
      </w:r>
      <w:r w:rsidRPr="006D3B9D">
        <w:rPr>
          <w:sz w:val="25"/>
          <w:szCs w:val="25"/>
        </w:rPr>
        <w:t xml:space="preserve"> 85 Закону та п</w:t>
      </w:r>
      <w:r w:rsidR="00C003EC" w:rsidRPr="006D3B9D">
        <w:rPr>
          <w:sz w:val="25"/>
          <w:szCs w:val="25"/>
        </w:rPr>
        <w:t>унктів</w:t>
      </w:r>
      <w:r w:rsidRPr="006D3B9D">
        <w:rPr>
          <w:sz w:val="25"/>
          <w:szCs w:val="25"/>
        </w:rPr>
        <w:t xml:space="preserve"> 2.1</w:t>
      </w:r>
      <w:r w:rsidR="00C003EC" w:rsidRPr="006D3B9D">
        <w:rPr>
          <w:sz w:val="25"/>
          <w:szCs w:val="25"/>
        </w:rPr>
        <w:t xml:space="preserve">, </w:t>
      </w:r>
      <w:r w:rsidRPr="006D3B9D">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D3B9D"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D3B9D">
        <w:rPr>
          <w:sz w:val="25"/>
          <w:szCs w:val="25"/>
        </w:rPr>
        <w:t>інстанційності</w:t>
      </w:r>
      <w:proofErr w:type="spellEnd"/>
      <w:r w:rsidRPr="006D3B9D">
        <w:rPr>
          <w:sz w:val="25"/>
          <w:szCs w:val="25"/>
        </w:rPr>
        <w:t xml:space="preserve">. Практичне завдання проводиться щодо спеціалізації відповідного суду з урахуванням його </w:t>
      </w:r>
      <w:proofErr w:type="spellStart"/>
      <w:r w:rsidRPr="006D3B9D">
        <w:rPr>
          <w:sz w:val="25"/>
          <w:szCs w:val="25"/>
        </w:rPr>
        <w:t>інстанційності</w:t>
      </w:r>
      <w:proofErr w:type="spellEnd"/>
      <w:r w:rsidRPr="006D3B9D">
        <w:rPr>
          <w:sz w:val="25"/>
          <w:szCs w:val="25"/>
        </w:rPr>
        <w:t>.</w:t>
      </w:r>
    </w:p>
    <w:p w14:paraId="489203A3" w14:textId="208D1990" w:rsidR="003E1E05" w:rsidRPr="006D3B9D"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pacing w:val="6"/>
          <w:sz w:val="25"/>
          <w:szCs w:val="25"/>
        </w:rPr>
        <w:t>Рішеннями Комісії від 11 вересня 2024 року № 270/зп-24 (зі змінами) та</w:t>
      </w:r>
      <w:r w:rsidR="00CA3025" w:rsidRPr="006D3B9D">
        <w:rPr>
          <w:spacing w:val="6"/>
          <w:sz w:val="25"/>
          <w:szCs w:val="25"/>
        </w:rPr>
        <w:t xml:space="preserve"> </w:t>
      </w:r>
      <w:r w:rsidRPr="006D3B9D">
        <w:rPr>
          <w:sz w:val="25"/>
          <w:szCs w:val="25"/>
        </w:rPr>
        <w:t>від</w:t>
      </w:r>
      <w:r w:rsidR="00CA3025" w:rsidRPr="006D3B9D">
        <w:rPr>
          <w:sz w:val="25"/>
          <w:szCs w:val="25"/>
        </w:rPr>
        <w:t xml:space="preserve"> </w:t>
      </w:r>
      <w:r w:rsidRPr="006D3B9D">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6D3B9D">
        <w:rPr>
          <w:sz w:val="25"/>
          <w:szCs w:val="25"/>
        </w:rPr>
        <w:t>,</w:t>
      </w:r>
      <w:r w:rsidRPr="006D3B9D">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A81C197" w14:textId="019C5B60" w:rsidR="00E61BEF" w:rsidRPr="006D3B9D" w:rsidRDefault="001E22F1" w:rsidP="00E61BE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Рішенням Комісії від 2</w:t>
      </w:r>
      <w:r w:rsidR="00E61BEF" w:rsidRPr="006D3B9D">
        <w:rPr>
          <w:sz w:val="25"/>
          <w:szCs w:val="25"/>
        </w:rPr>
        <w:t>1</w:t>
      </w:r>
      <w:r w:rsidRPr="006D3B9D">
        <w:rPr>
          <w:sz w:val="25"/>
          <w:szCs w:val="25"/>
        </w:rPr>
        <w:t xml:space="preserve"> жовтня 2024 року № 3</w:t>
      </w:r>
      <w:r w:rsidR="00E61BEF" w:rsidRPr="006D3B9D">
        <w:rPr>
          <w:sz w:val="25"/>
          <w:szCs w:val="25"/>
        </w:rPr>
        <w:t>23</w:t>
      </w:r>
      <w:r w:rsidRPr="006D3B9D">
        <w:rPr>
          <w:sz w:val="25"/>
          <w:szCs w:val="25"/>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E61BEF" w:rsidRPr="006D3B9D">
        <w:rPr>
          <w:sz w:val="25"/>
          <w:szCs w:val="25"/>
        </w:rPr>
        <w:t>загального</w:t>
      </w:r>
      <w:r w:rsidRPr="006D3B9D">
        <w:rPr>
          <w:sz w:val="25"/>
          <w:szCs w:val="25"/>
        </w:rPr>
        <w:t xml:space="preserve"> суду</w:t>
      </w:r>
      <w:r w:rsidR="00E61BEF" w:rsidRPr="006D3B9D">
        <w:rPr>
          <w:sz w:val="25"/>
          <w:szCs w:val="25"/>
        </w:rPr>
        <w:t xml:space="preserve"> (кримінальна спеціалізація)</w:t>
      </w:r>
      <w:r w:rsidRPr="006D3B9D">
        <w:rPr>
          <w:sz w:val="25"/>
          <w:szCs w:val="25"/>
        </w:rPr>
        <w:t>.</w:t>
      </w:r>
    </w:p>
    <w:p w14:paraId="183B4045" w14:textId="5F1E0AAC" w:rsidR="00301CF6" w:rsidRPr="006D3B9D"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Рішенням Комісії від 2</w:t>
      </w:r>
      <w:r w:rsidR="00E61BEF" w:rsidRPr="006D3B9D">
        <w:rPr>
          <w:sz w:val="25"/>
          <w:szCs w:val="25"/>
        </w:rPr>
        <w:t>0</w:t>
      </w:r>
      <w:r w:rsidRPr="006D3B9D">
        <w:rPr>
          <w:sz w:val="25"/>
          <w:szCs w:val="25"/>
        </w:rPr>
        <w:t xml:space="preserve"> січня 2025 року № 1</w:t>
      </w:r>
      <w:r w:rsidR="00E61BEF" w:rsidRPr="006D3B9D">
        <w:rPr>
          <w:sz w:val="25"/>
          <w:szCs w:val="25"/>
        </w:rPr>
        <w:t>6</w:t>
      </w:r>
      <w:r w:rsidRPr="006D3B9D">
        <w:rPr>
          <w:sz w:val="25"/>
          <w:szCs w:val="25"/>
        </w:rPr>
        <w:t>/зп-25 затверджено кодовані та декодовані результати тестування когнітивних здібностей, складеного 1</w:t>
      </w:r>
      <w:r w:rsidR="00E61BEF" w:rsidRPr="006D3B9D">
        <w:rPr>
          <w:sz w:val="25"/>
          <w:szCs w:val="25"/>
        </w:rPr>
        <w:t>0, 13,</w:t>
      </w:r>
      <w:r w:rsidRPr="006D3B9D">
        <w:rPr>
          <w:sz w:val="25"/>
          <w:szCs w:val="25"/>
        </w:rPr>
        <w:t xml:space="preserve"> </w:t>
      </w:r>
      <w:r w:rsidR="00E61BEF" w:rsidRPr="006D3B9D">
        <w:rPr>
          <w:sz w:val="25"/>
          <w:szCs w:val="25"/>
        </w:rPr>
        <w:t xml:space="preserve">14 та 15 </w:t>
      </w:r>
      <w:r w:rsidRPr="006D3B9D">
        <w:rPr>
          <w:sz w:val="25"/>
          <w:szCs w:val="25"/>
        </w:rPr>
        <w:t>січня 2025</w:t>
      </w:r>
      <w:r w:rsidR="00AA35A8" w:rsidRPr="006D3B9D">
        <w:rPr>
          <w:sz w:val="25"/>
          <w:szCs w:val="25"/>
        </w:rPr>
        <w:t> </w:t>
      </w:r>
      <w:r w:rsidRPr="006D3B9D">
        <w:rPr>
          <w:sz w:val="25"/>
          <w:szCs w:val="25"/>
        </w:rPr>
        <w:t>року кандидатами на зайняття вакантних посад суддів в апеляційних судах</w:t>
      </w:r>
      <w:r w:rsidR="00E61BEF" w:rsidRPr="006D3B9D">
        <w:rPr>
          <w:sz w:val="25"/>
          <w:szCs w:val="25"/>
        </w:rPr>
        <w:t xml:space="preserve"> (кримінальна спеціалізація)</w:t>
      </w:r>
      <w:r w:rsidRPr="006D3B9D">
        <w:rPr>
          <w:sz w:val="25"/>
          <w:szCs w:val="25"/>
        </w:rPr>
        <w:t xml:space="preserve"> у межах конкурсу, оголошеного рішенням Комісії від</w:t>
      </w:r>
      <w:r w:rsidR="00A47A90" w:rsidRPr="006D3B9D">
        <w:rPr>
          <w:sz w:val="25"/>
          <w:szCs w:val="25"/>
        </w:rPr>
        <w:t> </w:t>
      </w:r>
      <w:r w:rsidRPr="006D3B9D">
        <w:rPr>
          <w:sz w:val="25"/>
          <w:szCs w:val="25"/>
        </w:rPr>
        <w:t>14</w:t>
      </w:r>
      <w:r w:rsidR="00AA35A8" w:rsidRPr="006D3B9D">
        <w:rPr>
          <w:sz w:val="25"/>
          <w:szCs w:val="25"/>
        </w:rPr>
        <w:t> </w:t>
      </w:r>
      <w:r w:rsidRPr="006D3B9D">
        <w:rPr>
          <w:sz w:val="25"/>
          <w:szCs w:val="25"/>
        </w:rPr>
        <w:t>вересня 2023 року № 94/зп-23</w:t>
      </w:r>
      <w:r w:rsidR="00E61BEF" w:rsidRPr="006D3B9D">
        <w:rPr>
          <w:sz w:val="25"/>
          <w:szCs w:val="25"/>
        </w:rPr>
        <w:t xml:space="preserve"> (зі змінами)</w:t>
      </w:r>
      <w:r w:rsidR="00D463CA" w:rsidRPr="006D3B9D">
        <w:rPr>
          <w:sz w:val="25"/>
          <w:szCs w:val="25"/>
        </w:rPr>
        <w:t>.</w:t>
      </w:r>
    </w:p>
    <w:p w14:paraId="414CC0D9" w14:textId="24036113" w:rsidR="001E22F1" w:rsidRPr="006D3B9D"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Рішеннями Комісії від </w:t>
      </w:r>
      <w:r w:rsidR="00F260D8" w:rsidRPr="006D3B9D">
        <w:rPr>
          <w:sz w:val="25"/>
          <w:szCs w:val="25"/>
        </w:rPr>
        <w:t>17</w:t>
      </w:r>
      <w:r w:rsidRPr="006D3B9D">
        <w:rPr>
          <w:sz w:val="25"/>
          <w:szCs w:val="25"/>
        </w:rPr>
        <w:t xml:space="preserve"> </w:t>
      </w:r>
      <w:r w:rsidR="00F260D8" w:rsidRPr="006D3B9D">
        <w:rPr>
          <w:sz w:val="25"/>
          <w:szCs w:val="25"/>
        </w:rPr>
        <w:t>квітня</w:t>
      </w:r>
      <w:r w:rsidRPr="006D3B9D">
        <w:rPr>
          <w:sz w:val="25"/>
          <w:szCs w:val="25"/>
        </w:rPr>
        <w:t xml:space="preserve"> 2025 року № 8</w:t>
      </w:r>
      <w:r w:rsidR="00F260D8" w:rsidRPr="006D3B9D">
        <w:rPr>
          <w:sz w:val="25"/>
          <w:szCs w:val="25"/>
        </w:rPr>
        <w:t>7</w:t>
      </w:r>
      <w:r w:rsidRPr="006D3B9D">
        <w:rPr>
          <w:sz w:val="25"/>
          <w:szCs w:val="25"/>
        </w:rPr>
        <w:t xml:space="preserve">/зп-25 та № </w:t>
      </w:r>
      <w:r w:rsidR="002E1512" w:rsidRPr="006D3B9D">
        <w:rPr>
          <w:sz w:val="25"/>
          <w:szCs w:val="25"/>
        </w:rPr>
        <w:t>89</w:t>
      </w:r>
      <w:r w:rsidRPr="006D3B9D">
        <w:rPr>
          <w:sz w:val="25"/>
          <w:szCs w:val="25"/>
        </w:rPr>
        <w:t>/зп</w:t>
      </w:r>
      <w:r w:rsidR="002E1512" w:rsidRPr="006D3B9D">
        <w:rPr>
          <w:sz w:val="25"/>
          <w:szCs w:val="25"/>
        </w:rPr>
        <w:t xml:space="preserve">-25 </w:t>
      </w:r>
      <w:r w:rsidRPr="006D3B9D">
        <w:rPr>
          <w:sz w:val="25"/>
          <w:szCs w:val="25"/>
        </w:rPr>
        <w:t xml:space="preserve">затверджено кодовані та декодовані результати практичного завдання, виконаного </w:t>
      </w:r>
      <w:r w:rsidR="002E1512" w:rsidRPr="006D3B9D">
        <w:rPr>
          <w:sz w:val="25"/>
          <w:szCs w:val="25"/>
        </w:rPr>
        <w:t>12</w:t>
      </w:r>
      <w:r w:rsidR="00DA1AD8" w:rsidRPr="006D3B9D">
        <w:rPr>
          <w:sz w:val="25"/>
          <w:szCs w:val="25"/>
        </w:rPr>
        <w:t>–</w:t>
      </w:r>
      <w:r w:rsidR="002E1512" w:rsidRPr="006D3B9D">
        <w:rPr>
          <w:sz w:val="25"/>
          <w:szCs w:val="25"/>
        </w:rPr>
        <w:t>1</w:t>
      </w:r>
      <w:r w:rsidRPr="006D3B9D">
        <w:rPr>
          <w:sz w:val="25"/>
          <w:szCs w:val="25"/>
        </w:rPr>
        <w:t xml:space="preserve">4 та </w:t>
      </w:r>
      <w:r w:rsidR="002E1512" w:rsidRPr="006D3B9D">
        <w:rPr>
          <w:sz w:val="25"/>
          <w:szCs w:val="25"/>
        </w:rPr>
        <w:t>17-21</w:t>
      </w:r>
      <w:r w:rsidRPr="006D3B9D">
        <w:rPr>
          <w:sz w:val="25"/>
          <w:szCs w:val="25"/>
        </w:rPr>
        <w:t xml:space="preserve"> лютого 2025 року</w:t>
      </w:r>
      <w:r w:rsidR="002E1512" w:rsidRPr="006D3B9D">
        <w:rPr>
          <w:sz w:val="25"/>
          <w:szCs w:val="25"/>
        </w:rPr>
        <w:t xml:space="preserve"> (кримінальна спеціалізація)</w:t>
      </w:r>
      <w:r w:rsidRPr="006D3B9D">
        <w:rPr>
          <w:sz w:val="25"/>
          <w:szCs w:val="25"/>
        </w:rPr>
        <w:t xml:space="preserve"> кандидатами на зайняття вакантних посад суддів в апеляційних </w:t>
      </w:r>
      <w:r w:rsidR="002E1512" w:rsidRPr="006D3B9D">
        <w:rPr>
          <w:sz w:val="25"/>
          <w:szCs w:val="25"/>
        </w:rPr>
        <w:t>загальних</w:t>
      </w:r>
      <w:r w:rsidRPr="006D3B9D">
        <w:rPr>
          <w:sz w:val="25"/>
          <w:szCs w:val="25"/>
        </w:rPr>
        <w:t xml:space="preserve"> судах у межах конкурсу, оголошеного рішенням Комісії від</w:t>
      </w:r>
      <w:r w:rsidR="00A9218C" w:rsidRPr="006D3B9D">
        <w:rPr>
          <w:sz w:val="25"/>
          <w:szCs w:val="25"/>
        </w:rPr>
        <w:t> </w:t>
      </w:r>
      <w:r w:rsidRPr="006D3B9D">
        <w:rPr>
          <w:sz w:val="25"/>
          <w:szCs w:val="25"/>
        </w:rPr>
        <w:t>14</w:t>
      </w:r>
      <w:r w:rsidR="00AA35A8" w:rsidRPr="006D3B9D">
        <w:rPr>
          <w:sz w:val="25"/>
          <w:szCs w:val="25"/>
        </w:rPr>
        <w:t> </w:t>
      </w:r>
      <w:r w:rsidRPr="006D3B9D">
        <w:rPr>
          <w:sz w:val="25"/>
          <w:szCs w:val="25"/>
        </w:rPr>
        <w:t xml:space="preserve">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w:t>
      </w:r>
      <w:r w:rsidR="002E1512" w:rsidRPr="006D3B9D">
        <w:rPr>
          <w:sz w:val="25"/>
          <w:szCs w:val="25"/>
        </w:rPr>
        <w:t>загальних</w:t>
      </w:r>
      <w:r w:rsidRPr="006D3B9D">
        <w:rPr>
          <w:sz w:val="25"/>
          <w:szCs w:val="25"/>
        </w:rPr>
        <w:t xml:space="preserve"> судів</w:t>
      </w:r>
      <w:r w:rsidR="00D91FF6" w:rsidRPr="006D3B9D">
        <w:rPr>
          <w:sz w:val="25"/>
          <w:szCs w:val="25"/>
        </w:rPr>
        <w:t>.</w:t>
      </w:r>
      <w:r w:rsidRPr="006D3B9D">
        <w:rPr>
          <w:sz w:val="25"/>
          <w:szCs w:val="25"/>
        </w:rPr>
        <w:t xml:space="preserve"> </w:t>
      </w:r>
    </w:p>
    <w:p w14:paraId="5332791F" w14:textId="49F6AB63" w:rsidR="00301CF6" w:rsidRPr="006D3B9D"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w:t>
      </w:r>
      <w:r w:rsidR="00301CF6" w:rsidRPr="006D3B9D">
        <w:rPr>
          <w:sz w:val="25"/>
          <w:szCs w:val="25"/>
        </w:rPr>
        <w:t xml:space="preserve">ідповідно до </w:t>
      </w:r>
      <w:r w:rsidRPr="006D3B9D">
        <w:rPr>
          <w:sz w:val="25"/>
          <w:szCs w:val="25"/>
        </w:rPr>
        <w:t>пункту</w:t>
      </w:r>
      <w:r w:rsidR="00301CF6" w:rsidRPr="006D3B9D">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6D3B9D">
        <w:rPr>
          <w:sz w:val="25"/>
          <w:szCs w:val="25"/>
        </w:rPr>
        <w:t>№ </w:t>
      </w:r>
      <w:r w:rsidR="00301CF6" w:rsidRPr="006D3B9D">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F3061F2" w:rsidR="00301CF6" w:rsidRPr="006D3B9D"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п</w:t>
      </w:r>
      <w:r w:rsidR="00534CE7" w:rsidRPr="006D3B9D">
        <w:rPr>
          <w:sz w:val="25"/>
          <w:szCs w:val="25"/>
        </w:rPr>
        <w:t>ункту</w:t>
      </w:r>
      <w:r w:rsidRPr="006D3B9D">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w:t>
      </w:r>
      <w:r w:rsidRPr="006D3B9D">
        <w:rPr>
          <w:spacing w:val="10"/>
          <w:sz w:val="25"/>
          <w:szCs w:val="25"/>
        </w:rPr>
        <w:t>рішеннями Вищої кваліфікаційної комісії суддів України від 14 вересня 2023 року</w:t>
      </w:r>
      <w:r w:rsidRPr="006D3B9D">
        <w:rPr>
          <w:sz w:val="25"/>
          <w:szCs w:val="25"/>
        </w:rPr>
        <w:t xml:space="preserve"> </w:t>
      </w:r>
      <w:r w:rsidR="00AA35A8" w:rsidRPr="006D3B9D">
        <w:rPr>
          <w:sz w:val="25"/>
          <w:szCs w:val="25"/>
        </w:rPr>
        <w:t>№</w:t>
      </w:r>
      <w:r w:rsidRPr="006D3B9D">
        <w:rPr>
          <w:sz w:val="25"/>
          <w:szCs w:val="25"/>
        </w:rPr>
        <w:t xml:space="preserve"> 94/зп-23</w:t>
      </w:r>
      <w:r w:rsidR="00534CE7" w:rsidRPr="006D3B9D">
        <w:rPr>
          <w:sz w:val="25"/>
          <w:szCs w:val="25"/>
        </w:rPr>
        <w:t>, від 23 листопада 2023 року</w:t>
      </w:r>
      <w:r w:rsidR="006D3B9D">
        <w:rPr>
          <w:sz w:val="25"/>
          <w:szCs w:val="25"/>
        </w:rPr>
        <w:t xml:space="preserve"> </w:t>
      </w:r>
      <w:r w:rsidR="00534CE7" w:rsidRPr="006D3B9D">
        <w:rPr>
          <w:sz w:val="25"/>
          <w:szCs w:val="25"/>
        </w:rPr>
        <w:t>№ 145/зп-23.</w:t>
      </w:r>
    </w:p>
    <w:p w14:paraId="409D1927" w14:textId="44466DC9" w:rsidR="00301CF6" w:rsidRPr="006D3B9D"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 огляду на зазначене </w:t>
      </w:r>
      <w:r w:rsidR="00534CE7" w:rsidRPr="006D3B9D">
        <w:rPr>
          <w:sz w:val="25"/>
          <w:szCs w:val="25"/>
        </w:rPr>
        <w:t xml:space="preserve">вище </w:t>
      </w:r>
      <w:proofErr w:type="spellStart"/>
      <w:r w:rsidR="000464B3" w:rsidRPr="006D3B9D">
        <w:rPr>
          <w:sz w:val="25"/>
          <w:szCs w:val="25"/>
        </w:rPr>
        <w:t>Косогор</w:t>
      </w:r>
      <w:proofErr w:type="spellEnd"/>
      <w:r w:rsidRPr="006D3B9D">
        <w:rPr>
          <w:sz w:val="25"/>
          <w:szCs w:val="25"/>
        </w:rPr>
        <w:t xml:space="preserve"> </w:t>
      </w:r>
      <w:r w:rsidR="000464B3" w:rsidRPr="006D3B9D">
        <w:rPr>
          <w:sz w:val="25"/>
          <w:szCs w:val="25"/>
        </w:rPr>
        <w:t>О</w:t>
      </w:r>
      <w:r w:rsidRPr="006D3B9D">
        <w:rPr>
          <w:sz w:val="25"/>
          <w:szCs w:val="25"/>
        </w:rPr>
        <w:t>.</w:t>
      </w:r>
      <w:r w:rsidR="000464B3" w:rsidRPr="006D3B9D">
        <w:rPr>
          <w:sz w:val="25"/>
          <w:szCs w:val="25"/>
        </w:rPr>
        <w:t>М</w:t>
      </w:r>
      <w:r w:rsidRPr="006D3B9D">
        <w:rPr>
          <w:sz w:val="25"/>
          <w:szCs w:val="25"/>
        </w:rPr>
        <w:t>. отрима</w:t>
      </w:r>
      <w:r w:rsidR="000464B3" w:rsidRPr="006D3B9D">
        <w:rPr>
          <w:sz w:val="25"/>
          <w:szCs w:val="25"/>
        </w:rPr>
        <w:t>ла</w:t>
      </w:r>
      <w:r w:rsidRPr="006D3B9D">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6D3B9D">
        <w:rPr>
          <w:sz w:val="25"/>
          <w:szCs w:val="25"/>
        </w:rPr>
        <w:t>загальних</w:t>
      </w:r>
      <w:r w:rsidRPr="006D3B9D">
        <w:rPr>
          <w:sz w:val="25"/>
          <w:szCs w:val="25"/>
        </w:rPr>
        <w:t xml:space="preserve"> судів у межах конкурсу, оголошеного рішенням Комісії від 14 вересня 2023 року № 94/зп-23</w:t>
      </w:r>
      <w:r w:rsidR="002E1512" w:rsidRPr="006D3B9D">
        <w:rPr>
          <w:sz w:val="25"/>
          <w:szCs w:val="25"/>
        </w:rPr>
        <w:t xml:space="preserve"> (зі змінами)</w:t>
      </w:r>
      <w:r w:rsidR="00534CE7" w:rsidRPr="006D3B9D">
        <w:rPr>
          <w:sz w:val="25"/>
          <w:szCs w:val="25"/>
        </w:rPr>
        <w:t>.</w:t>
      </w:r>
    </w:p>
    <w:tbl>
      <w:tblPr>
        <w:tblW w:w="9616" w:type="dxa"/>
        <w:tblCellMar>
          <w:left w:w="0" w:type="dxa"/>
          <w:right w:w="0" w:type="dxa"/>
        </w:tblCellMar>
        <w:tblLook w:val="04A0" w:firstRow="1" w:lastRow="0" w:firstColumn="1" w:lastColumn="0" w:noHBand="0" w:noVBand="1"/>
      </w:tblPr>
      <w:tblGrid>
        <w:gridCol w:w="1741"/>
        <w:gridCol w:w="5512"/>
        <w:gridCol w:w="1469"/>
        <w:gridCol w:w="894"/>
      </w:tblGrid>
      <w:tr w:rsidR="00301CF6" w:rsidRPr="006D3B9D"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6D3B9D" w:rsidRDefault="00301CF6" w:rsidP="0026341B">
            <w:pPr>
              <w:rPr>
                <w:sz w:val="25"/>
                <w:szCs w:val="25"/>
              </w:rPr>
            </w:pPr>
            <w:r w:rsidRPr="006D3B9D">
              <w:rPr>
                <w:sz w:val="25"/>
                <w:szCs w:val="25"/>
              </w:rPr>
              <w:lastRenderedPageBreak/>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6D3B9D" w:rsidRDefault="00301CF6" w:rsidP="0026341B">
            <w:pPr>
              <w:rPr>
                <w:sz w:val="25"/>
                <w:szCs w:val="25"/>
              </w:rPr>
            </w:pPr>
            <w:r w:rsidRPr="006D3B9D">
              <w:rPr>
                <w:sz w:val="25"/>
                <w:szCs w:val="25"/>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34502FFA" w:rsidR="00301CF6" w:rsidRPr="006D3B9D" w:rsidRDefault="00A203C2" w:rsidP="0026341B">
            <w:pPr>
              <w:jc w:val="center"/>
              <w:rPr>
                <w:sz w:val="25"/>
                <w:szCs w:val="25"/>
              </w:rPr>
            </w:pPr>
            <w:r w:rsidRPr="006D3B9D">
              <w:rPr>
                <w:sz w:val="25"/>
                <w:szCs w:val="25"/>
              </w:rPr>
              <w:t>4</w:t>
            </w:r>
            <w:r w:rsidR="000464B3" w:rsidRPr="006D3B9D">
              <w:rPr>
                <w:sz w:val="25"/>
                <w:szCs w:val="25"/>
              </w:rPr>
              <w:t>5</w:t>
            </w:r>
            <w:r w:rsidR="00301CF6" w:rsidRPr="006D3B9D">
              <w:rPr>
                <w:sz w:val="25"/>
                <w:szCs w:val="25"/>
              </w:rPr>
              <w:t>,</w:t>
            </w:r>
            <w:r w:rsidR="000464B3" w:rsidRPr="006D3B9D">
              <w:rPr>
                <w:sz w:val="25"/>
                <w:szCs w:val="25"/>
              </w:rPr>
              <w:t>5</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2127B61F" w:rsidR="00301CF6" w:rsidRPr="006D3B9D" w:rsidRDefault="00301CF6" w:rsidP="0026341B">
            <w:pPr>
              <w:jc w:val="center"/>
              <w:rPr>
                <w:sz w:val="25"/>
                <w:szCs w:val="25"/>
              </w:rPr>
            </w:pPr>
            <w:r w:rsidRPr="006D3B9D">
              <w:rPr>
                <w:sz w:val="25"/>
                <w:szCs w:val="25"/>
              </w:rPr>
              <w:t>3</w:t>
            </w:r>
            <w:r w:rsidR="000464B3" w:rsidRPr="006D3B9D">
              <w:rPr>
                <w:sz w:val="25"/>
                <w:szCs w:val="25"/>
              </w:rPr>
              <w:t>38</w:t>
            </w:r>
            <w:r w:rsidRPr="006D3B9D">
              <w:rPr>
                <w:sz w:val="25"/>
                <w:szCs w:val="25"/>
              </w:rPr>
              <w:t>,</w:t>
            </w:r>
            <w:r w:rsidR="000464B3" w:rsidRPr="006D3B9D">
              <w:rPr>
                <w:sz w:val="25"/>
                <w:szCs w:val="25"/>
              </w:rPr>
              <w:t>5</w:t>
            </w:r>
          </w:p>
        </w:tc>
      </w:tr>
      <w:tr w:rsidR="00301CF6" w:rsidRPr="006D3B9D"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D3B9D" w:rsidRDefault="00301CF6" w:rsidP="0026341B">
            <w:pPr>
              <w:rPr>
                <w:sz w:val="25"/>
                <w:szCs w:val="25"/>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6D3B9D" w:rsidRDefault="00301CF6" w:rsidP="0026341B">
            <w:pPr>
              <w:rPr>
                <w:sz w:val="25"/>
                <w:szCs w:val="25"/>
              </w:rPr>
            </w:pPr>
            <w:r w:rsidRPr="006D3B9D">
              <w:rPr>
                <w:sz w:val="25"/>
                <w:szCs w:val="25"/>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6D3B9D" w:rsidRDefault="00301CF6" w:rsidP="0026341B">
            <w:pPr>
              <w:jc w:val="center"/>
              <w:rPr>
                <w:sz w:val="25"/>
                <w:szCs w:val="25"/>
              </w:rPr>
            </w:pPr>
            <w:r w:rsidRPr="006D3B9D">
              <w:rPr>
                <w:sz w:val="25"/>
                <w:szCs w:val="25"/>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D3B9D" w:rsidRDefault="00301CF6" w:rsidP="0026341B">
            <w:pPr>
              <w:rPr>
                <w:sz w:val="25"/>
                <w:szCs w:val="25"/>
              </w:rPr>
            </w:pPr>
          </w:p>
        </w:tc>
      </w:tr>
      <w:tr w:rsidR="00301CF6" w:rsidRPr="006D3B9D"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D3B9D" w:rsidRDefault="00301CF6" w:rsidP="0026341B">
            <w:pPr>
              <w:rPr>
                <w:sz w:val="25"/>
                <w:szCs w:val="25"/>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6D3B9D" w:rsidRDefault="00301CF6" w:rsidP="0026341B">
            <w:pPr>
              <w:rPr>
                <w:sz w:val="25"/>
                <w:szCs w:val="25"/>
              </w:rPr>
            </w:pPr>
            <w:r w:rsidRPr="006D3B9D">
              <w:rPr>
                <w:sz w:val="25"/>
                <w:szCs w:val="25"/>
              </w:rPr>
              <w:t>знання у сфері права та</w:t>
            </w:r>
            <w:r w:rsidR="00534CE7" w:rsidRPr="006D3B9D">
              <w:rPr>
                <w:sz w:val="25"/>
                <w:szCs w:val="25"/>
              </w:rPr>
              <w:t xml:space="preserve"> зі</w:t>
            </w:r>
            <w:r w:rsidRPr="006D3B9D">
              <w:rPr>
                <w:sz w:val="25"/>
                <w:szCs w:val="25"/>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3B89D287" w:rsidR="00301CF6" w:rsidRPr="006D3B9D" w:rsidRDefault="00301CF6" w:rsidP="0026341B">
            <w:pPr>
              <w:jc w:val="center"/>
              <w:rPr>
                <w:sz w:val="25"/>
                <w:szCs w:val="25"/>
              </w:rPr>
            </w:pPr>
            <w:r w:rsidRPr="006D3B9D">
              <w:rPr>
                <w:sz w:val="25"/>
                <w:szCs w:val="25"/>
              </w:rPr>
              <w:t>1</w:t>
            </w:r>
            <w:r w:rsidR="000464B3" w:rsidRPr="006D3B9D">
              <w:rPr>
                <w:sz w:val="25"/>
                <w:szCs w:val="25"/>
              </w:rPr>
              <w:t>37</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D3B9D" w:rsidRDefault="00301CF6" w:rsidP="0026341B">
            <w:pPr>
              <w:rPr>
                <w:sz w:val="25"/>
                <w:szCs w:val="25"/>
              </w:rPr>
            </w:pPr>
          </w:p>
        </w:tc>
      </w:tr>
      <w:tr w:rsidR="00301CF6" w:rsidRPr="006D3B9D"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D3B9D" w:rsidRDefault="00301CF6" w:rsidP="0026341B">
            <w:pPr>
              <w:rPr>
                <w:sz w:val="25"/>
                <w:szCs w:val="25"/>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6D3B9D" w:rsidRDefault="00301CF6" w:rsidP="0026341B">
            <w:pPr>
              <w:rPr>
                <w:sz w:val="25"/>
                <w:szCs w:val="25"/>
              </w:rPr>
            </w:pPr>
            <w:r w:rsidRPr="006D3B9D">
              <w:rPr>
                <w:sz w:val="25"/>
                <w:szCs w:val="25"/>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3987D641" w:rsidR="00301CF6" w:rsidRPr="006D3B9D" w:rsidRDefault="00301CF6" w:rsidP="0026341B">
            <w:pPr>
              <w:jc w:val="center"/>
              <w:rPr>
                <w:sz w:val="25"/>
                <w:szCs w:val="25"/>
              </w:rPr>
            </w:pPr>
            <w:r w:rsidRPr="006D3B9D">
              <w:rPr>
                <w:sz w:val="25"/>
                <w:szCs w:val="25"/>
              </w:rPr>
              <w:t>1</w:t>
            </w:r>
            <w:r w:rsidR="000464B3" w:rsidRPr="006D3B9D">
              <w:rPr>
                <w:sz w:val="25"/>
                <w:szCs w:val="25"/>
              </w:rPr>
              <w:t>16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D3B9D" w:rsidRDefault="00301CF6" w:rsidP="0026341B">
            <w:pPr>
              <w:rPr>
                <w:sz w:val="25"/>
                <w:szCs w:val="25"/>
              </w:rPr>
            </w:pPr>
          </w:p>
        </w:tc>
      </w:tr>
    </w:tbl>
    <w:p w14:paraId="1293461D" w14:textId="77777777" w:rsidR="00301CF6" w:rsidRPr="006D3B9D" w:rsidRDefault="00301CF6" w:rsidP="00301CF6">
      <w:pPr>
        <w:jc w:val="both"/>
        <w:rPr>
          <w:sz w:val="25"/>
          <w:szCs w:val="25"/>
        </w:rPr>
      </w:pPr>
    </w:p>
    <w:p w14:paraId="4F89BC22" w14:textId="6C1E781E" w:rsidR="00B43121" w:rsidRPr="006D3B9D"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п</w:t>
      </w:r>
      <w:r w:rsidR="00534CE7" w:rsidRPr="006D3B9D">
        <w:rPr>
          <w:sz w:val="25"/>
          <w:szCs w:val="25"/>
        </w:rPr>
        <w:t>ідпункту</w:t>
      </w:r>
      <w:r w:rsidRPr="006D3B9D">
        <w:rPr>
          <w:sz w:val="25"/>
          <w:szCs w:val="25"/>
        </w:rPr>
        <w:t xml:space="preserve"> 6.3.3 </w:t>
      </w:r>
      <w:r w:rsidR="00DA1AD8" w:rsidRPr="006D3B9D">
        <w:rPr>
          <w:sz w:val="25"/>
          <w:szCs w:val="25"/>
        </w:rPr>
        <w:t xml:space="preserve">пункту 6.3 </w:t>
      </w:r>
      <w:r w:rsidRPr="006D3B9D">
        <w:rPr>
          <w:sz w:val="25"/>
          <w:szCs w:val="25"/>
        </w:rPr>
        <w:t xml:space="preserve">Положення про порядок складання кваліфікаційного іспиту та методику оцінювання кандидатів </w:t>
      </w:r>
      <w:r w:rsidR="007C5D96" w:rsidRPr="006D3B9D">
        <w:rPr>
          <w:sz w:val="25"/>
          <w:szCs w:val="25"/>
        </w:rPr>
        <w:t>у</w:t>
      </w:r>
      <w:r w:rsidRPr="006D3B9D">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D3B9D">
        <w:rPr>
          <w:sz w:val="25"/>
          <w:szCs w:val="25"/>
        </w:rPr>
        <w:t>бала</w:t>
      </w:r>
      <w:proofErr w:type="spellEnd"/>
      <w:r w:rsidRPr="006D3B9D">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D3B9D">
        <w:rPr>
          <w:sz w:val="25"/>
          <w:szCs w:val="25"/>
        </w:rPr>
        <w:t>бала</w:t>
      </w:r>
      <w:proofErr w:type="spellEnd"/>
      <w:r w:rsidRPr="006D3B9D">
        <w:rPr>
          <w:sz w:val="25"/>
          <w:szCs w:val="25"/>
        </w:rPr>
        <w:t xml:space="preserve"> тестування.</w:t>
      </w:r>
    </w:p>
    <w:p w14:paraId="2C68E04F" w14:textId="0C9A99A0" w:rsidR="00A47A90" w:rsidRPr="006D3B9D"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Отже, загальна кількість балів</w:t>
      </w:r>
      <w:r w:rsidR="007C5D96" w:rsidRPr="006D3B9D">
        <w:rPr>
          <w:sz w:val="25"/>
          <w:szCs w:val="25"/>
        </w:rPr>
        <w:t>, отриманих</w:t>
      </w:r>
      <w:r w:rsidRPr="006D3B9D">
        <w:rPr>
          <w:sz w:val="25"/>
          <w:szCs w:val="25"/>
        </w:rPr>
        <w:t xml:space="preserve"> </w:t>
      </w:r>
      <w:proofErr w:type="spellStart"/>
      <w:r w:rsidR="000464B3" w:rsidRPr="006D3B9D">
        <w:rPr>
          <w:sz w:val="25"/>
          <w:szCs w:val="25"/>
        </w:rPr>
        <w:t>Косогор</w:t>
      </w:r>
      <w:proofErr w:type="spellEnd"/>
      <w:r w:rsidR="000464B3" w:rsidRPr="006D3B9D">
        <w:rPr>
          <w:sz w:val="25"/>
          <w:szCs w:val="25"/>
        </w:rPr>
        <w:t xml:space="preserve"> О</w:t>
      </w:r>
      <w:r w:rsidR="00DA1AD8" w:rsidRPr="006D3B9D">
        <w:rPr>
          <w:sz w:val="25"/>
          <w:szCs w:val="25"/>
        </w:rPr>
        <w:t xml:space="preserve">.М. </w:t>
      </w:r>
      <w:r w:rsidRPr="006D3B9D">
        <w:rPr>
          <w:sz w:val="25"/>
          <w:szCs w:val="25"/>
        </w:rPr>
        <w:t>за кваліфікаційний іспит</w:t>
      </w:r>
      <w:r w:rsidR="007C5D96" w:rsidRPr="006D3B9D">
        <w:rPr>
          <w:sz w:val="25"/>
          <w:szCs w:val="25"/>
        </w:rPr>
        <w:t>, становить</w:t>
      </w:r>
      <w:r w:rsidRPr="006D3B9D">
        <w:rPr>
          <w:sz w:val="25"/>
          <w:szCs w:val="25"/>
        </w:rPr>
        <w:t xml:space="preserve"> 3</w:t>
      </w:r>
      <w:r w:rsidR="000464B3" w:rsidRPr="006D3B9D">
        <w:rPr>
          <w:sz w:val="25"/>
          <w:szCs w:val="25"/>
        </w:rPr>
        <w:t>38</w:t>
      </w:r>
      <w:r w:rsidRPr="006D3B9D">
        <w:rPr>
          <w:sz w:val="25"/>
          <w:szCs w:val="25"/>
        </w:rPr>
        <w:t>,</w:t>
      </w:r>
      <w:r w:rsidR="000464B3" w:rsidRPr="006D3B9D">
        <w:rPr>
          <w:sz w:val="25"/>
          <w:szCs w:val="25"/>
        </w:rPr>
        <w:t>5</w:t>
      </w:r>
      <w:r w:rsidRPr="006D3B9D">
        <w:rPr>
          <w:sz w:val="25"/>
          <w:szCs w:val="25"/>
        </w:rPr>
        <w:t xml:space="preserve"> </w:t>
      </w:r>
      <w:proofErr w:type="spellStart"/>
      <w:r w:rsidRPr="006D3B9D">
        <w:rPr>
          <w:sz w:val="25"/>
          <w:szCs w:val="25"/>
        </w:rPr>
        <w:t>бала</w:t>
      </w:r>
      <w:proofErr w:type="spellEnd"/>
      <w:r w:rsidRPr="006D3B9D">
        <w:rPr>
          <w:sz w:val="25"/>
          <w:szCs w:val="25"/>
        </w:rPr>
        <w:t xml:space="preserve"> із 400 можливих, що свідчить про підтвердження</w:t>
      </w:r>
      <w:r w:rsidR="007C5D96" w:rsidRPr="006D3B9D">
        <w:rPr>
          <w:sz w:val="25"/>
          <w:szCs w:val="25"/>
        </w:rPr>
        <w:t xml:space="preserve"> н</w:t>
      </w:r>
      <w:r w:rsidR="00DA1AD8" w:rsidRPr="006D3B9D">
        <w:rPr>
          <w:sz w:val="25"/>
          <w:szCs w:val="25"/>
        </w:rPr>
        <w:t>ею</w:t>
      </w:r>
      <w:r w:rsidRPr="006D3B9D">
        <w:rPr>
          <w:sz w:val="25"/>
          <w:szCs w:val="25"/>
        </w:rPr>
        <w:t xml:space="preserve"> здатності здійснювати правосуддя в апеляційному </w:t>
      </w:r>
      <w:r w:rsidR="00870914" w:rsidRPr="006D3B9D">
        <w:rPr>
          <w:sz w:val="25"/>
          <w:szCs w:val="25"/>
        </w:rPr>
        <w:t>загальному</w:t>
      </w:r>
      <w:r w:rsidRPr="006D3B9D">
        <w:rPr>
          <w:sz w:val="25"/>
          <w:szCs w:val="25"/>
        </w:rPr>
        <w:t xml:space="preserve"> суді за критерієм професійної компетентності.</w:t>
      </w:r>
    </w:p>
    <w:p w14:paraId="38C31652" w14:textId="0D22688E" w:rsidR="009D54E8" w:rsidRPr="006D3B9D" w:rsidRDefault="00A2324E" w:rsidP="009D54E8">
      <w:pPr>
        <w:jc w:val="both"/>
        <w:rPr>
          <w:b/>
          <w:sz w:val="25"/>
          <w:szCs w:val="25"/>
        </w:rPr>
      </w:pPr>
      <w:r w:rsidRPr="006D3B9D">
        <w:rPr>
          <w:b/>
          <w:sz w:val="25"/>
          <w:szCs w:val="25"/>
        </w:rPr>
        <w:t>ІV</w:t>
      </w:r>
      <w:r w:rsidR="00E07B74" w:rsidRPr="006D3B9D">
        <w:rPr>
          <w:b/>
          <w:sz w:val="25"/>
          <w:szCs w:val="25"/>
        </w:rPr>
        <w:t xml:space="preserve">. </w:t>
      </w:r>
      <w:r w:rsidR="009D54E8" w:rsidRPr="006D3B9D">
        <w:rPr>
          <w:b/>
          <w:sz w:val="25"/>
          <w:szCs w:val="25"/>
        </w:rPr>
        <w:t xml:space="preserve">Проведення спеціальної перевірки. </w:t>
      </w:r>
    </w:p>
    <w:p w14:paraId="3557C08B" w14:textId="77777777" w:rsidR="00E07B74" w:rsidRPr="006D3B9D" w:rsidRDefault="00E07B74" w:rsidP="009D54E8">
      <w:pPr>
        <w:ind w:firstLine="708"/>
        <w:jc w:val="both"/>
        <w:rPr>
          <w:sz w:val="25"/>
          <w:szCs w:val="25"/>
        </w:rPr>
      </w:pPr>
    </w:p>
    <w:p w14:paraId="4A6689E9" w14:textId="6129CE22" w:rsidR="009D54E8" w:rsidRPr="006D3B9D"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статті 75 Закону, статей 56</w:t>
      </w:r>
      <w:r w:rsidR="00DA1AD8" w:rsidRPr="006D3B9D">
        <w:rPr>
          <w:sz w:val="25"/>
          <w:szCs w:val="25"/>
        </w:rPr>
        <w:t>–</w:t>
      </w:r>
      <w:r w:rsidRPr="006D3B9D">
        <w:rPr>
          <w:sz w:val="25"/>
          <w:szCs w:val="25"/>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DA1AD8" w:rsidRPr="006D3B9D">
        <w:rPr>
          <w:sz w:val="25"/>
          <w:szCs w:val="25"/>
        </w:rPr>
        <w:t xml:space="preserve"> березня </w:t>
      </w:r>
      <w:r w:rsidRPr="006D3B9D">
        <w:rPr>
          <w:sz w:val="25"/>
          <w:szCs w:val="25"/>
        </w:rPr>
        <w:t xml:space="preserve">2015 </w:t>
      </w:r>
      <w:r w:rsidR="00DA1AD8" w:rsidRPr="006D3B9D">
        <w:rPr>
          <w:sz w:val="25"/>
          <w:szCs w:val="25"/>
        </w:rPr>
        <w:t xml:space="preserve">року </w:t>
      </w:r>
      <w:r w:rsidRPr="006D3B9D">
        <w:rPr>
          <w:sz w:val="25"/>
          <w:szCs w:val="25"/>
        </w:rPr>
        <w:t>№ 171 (у редакції постанови Кабінету Міністрів України від 27</w:t>
      </w:r>
      <w:r w:rsidR="00DA1AD8" w:rsidRPr="006D3B9D">
        <w:rPr>
          <w:sz w:val="25"/>
          <w:szCs w:val="25"/>
        </w:rPr>
        <w:t xml:space="preserve"> серпня </w:t>
      </w:r>
      <w:r w:rsidRPr="006D3B9D">
        <w:rPr>
          <w:sz w:val="25"/>
          <w:szCs w:val="25"/>
        </w:rPr>
        <w:t>2022</w:t>
      </w:r>
      <w:r w:rsidR="00DA1AD8" w:rsidRPr="006D3B9D">
        <w:rPr>
          <w:sz w:val="25"/>
          <w:szCs w:val="25"/>
        </w:rPr>
        <w:t xml:space="preserve"> року</w:t>
      </w:r>
      <w:r w:rsidRPr="006D3B9D">
        <w:rPr>
          <w:sz w:val="25"/>
          <w:szCs w:val="25"/>
        </w:rPr>
        <w:t xml:space="preserve"> № 959), Вищою кваліфікаційною комісією суддів України організовано проведення спеціальної перевірки стосовно </w:t>
      </w:r>
      <w:proofErr w:type="spellStart"/>
      <w:r w:rsidR="000464B3" w:rsidRPr="006D3B9D">
        <w:rPr>
          <w:sz w:val="25"/>
          <w:szCs w:val="25"/>
        </w:rPr>
        <w:t>Косогор</w:t>
      </w:r>
      <w:proofErr w:type="spellEnd"/>
      <w:r w:rsidR="000464B3" w:rsidRPr="006D3B9D">
        <w:rPr>
          <w:sz w:val="25"/>
          <w:szCs w:val="25"/>
        </w:rPr>
        <w:t xml:space="preserve"> О.М.</w:t>
      </w:r>
    </w:p>
    <w:p w14:paraId="51D3FF15" w14:textId="760E4F48" w:rsidR="002916EC" w:rsidRPr="006D3B9D"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Запити про надання відомостей стосовно </w:t>
      </w:r>
      <w:proofErr w:type="spellStart"/>
      <w:r w:rsidR="000D6C30" w:rsidRPr="006D3B9D">
        <w:rPr>
          <w:sz w:val="25"/>
          <w:szCs w:val="25"/>
        </w:rPr>
        <w:t>Косогор</w:t>
      </w:r>
      <w:proofErr w:type="spellEnd"/>
      <w:r w:rsidR="00870914" w:rsidRPr="006D3B9D">
        <w:rPr>
          <w:sz w:val="25"/>
          <w:szCs w:val="25"/>
        </w:rPr>
        <w:t xml:space="preserve"> </w:t>
      </w:r>
      <w:r w:rsidR="000D6C30" w:rsidRPr="006D3B9D">
        <w:rPr>
          <w:sz w:val="25"/>
          <w:szCs w:val="25"/>
        </w:rPr>
        <w:t>О</w:t>
      </w:r>
      <w:r w:rsidR="00870914" w:rsidRPr="006D3B9D">
        <w:rPr>
          <w:sz w:val="25"/>
          <w:szCs w:val="25"/>
        </w:rPr>
        <w:t>.</w:t>
      </w:r>
      <w:r w:rsidR="000D6C30" w:rsidRPr="006D3B9D">
        <w:rPr>
          <w:sz w:val="25"/>
          <w:szCs w:val="25"/>
        </w:rPr>
        <w:t>М</w:t>
      </w:r>
      <w:r w:rsidR="00870914" w:rsidRPr="006D3B9D">
        <w:rPr>
          <w:sz w:val="25"/>
          <w:szCs w:val="25"/>
        </w:rPr>
        <w:t>.</w:t>
      </w:r>
      <w:r w:rsidR="001C1E9E" w:rsidRPr="006D3B9D">
        <w:rPr>
          <w:sz w:val="25"/>
          <w:szCs w:val="25"/>
        </w:rPr>
        <w:t xml:space="preserve"> </w:t>
      </w:r>
      <w:r w:rsidRPr="006D3B9D">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DA1AD8" w:rsidRPr="006D3B9D">
        <w:rPr>
          <w:sz w:val="25"/>
          <w:szCs w:val="25"/>
        </w:rPr>
        <w:t xml:space="preserve"> (далі – Національне </w:t>
      </w:r>
      <w:r w:rsidR="00E75808" w:rsidRPr="006D3B9D">
        <w:rPr>
          <w:sz w:val="25"/>
          <w:szCs w:val="25"/>
        </w:rPr>
        <w:t>агентство)</w:t>
      </w:r>
      <w:r w:rsidRPr="006D3B9D">
        <w:rPr>
          <w:sz w:val="25"/>
          <w:szCs w:val="25"/>
        </w:rPr>
        <w:t xml:space="preserve">,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E75808" w:rsidRPr="006D3B9D">
        <w:rPr>
          <w:sz w:val="25"/>
          <w:szCs w:val="25"/>
        </w:rPr>
        <w:t>з</w:t>
      </w:r>
      <w:r w:rsidRPr="006D3B9D">
        <w:rPr>
          <w:sz w:val="25"/>
          <w:szCs w:val="25"/>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4D24D7F" w14:textId="62F6A7D0" w:rsidR="00EB5CB3" w:rsidRPr="006D3B9D" w:rsidRDefault="00B3626F"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Національне </w:t>
      </w:r>
      <w:r w:rsidR="00095213" w:rsidRPr="006D3B9D">
        <w:rPr>
          <w:sz w:val="25"/>
          <w:szCs w:val="25"/>
        </w:rPr>
        <w:t>агентство</w:t>
      </w:r>
      <w:r w:rsidRPr="006D3B9D">
        <w:rPr>
          <w:sz w:val="25"/>
          <w:szCs w:val="25"/>
        </w:rPr>
        <w:t xml:space="preserve"> листом від </w:t>
      </w:r>
      <w:r w:rsidR="002D64D2" w:rsidRPr="006D3B9D">
        <w:rPr>
          <w:sz w:val="25"/>
          <w:szCs w:val="25"/>
        </w:rPr>
        <w:t>0</w:t>
      </w:r>
      <w:r w:rsidR="00EB5CB3" w:rsidRPr="006D3B9D">
        <w:rPr>
          <w:sz w:val="25"/>
          <w:szCs w:val="25"/>
        </w:rPr>
        <w:t>4</w:t>
      </w:r>
      <w:r w:rsidRPr="006D3B9D">
        <w:rPr>
          <w:sz w:val="25"/>
          <w:szCs w:val="25"/>
        </w:rPr>
        <w:t xml:space="preserve"> </w:t>
      </w:r>
      <w:r w:rsidR="009E1413" w:rsidRPr="006D3B9D">
        <w:rPr>
          <w:sz w:val="25"/>
          <w:szCs w:val="25"/>
        </w:rPr>
        <w:t>червня</w:t>
      </w:r>
      <w:r w:rsidRPr="006D3B9D">
        <w:rPr>
          <w:sz w:val="25"/>
          <w:szCs w:val="25"/>
        </w:rPr>
        <w:t xml:space="preserve"> 2025 року №</w:t>
      </w:r>
      <w:r w:rsidR="009E1413" w:rsidRPr="006D3B9D">
        <w:rPr>
          <w:sz w:val="25"/>
          <w:szCs w:val="25"/>
        </w:rPr>
        <w:t xml:space="preserve"> </w:t>
      </w:r>
      <w:r w:rsidR="00EB5CB3" w:rsidRPr="006D3B9D">
        <w:rPr>
          <w:sz w:val="25"/>
          <w:szCs w:val="25"/>
        </w:rPr>
        <w:t xml:space="preserve">49-01/48598-25 </w:t>
      </w:r>
      <w:r w:rsidRPr="006D3B9D">
        <w:rPr>
          <w:sz w:val="25"/>
          <w:szCs w:val="25"/>
        </w:rPr>
        <w:t xml:space="preserve">надіслало до Комісії </w:t>
      </w:r>
      <w:r w:rsidR="00E75808" w:rsidRPr="006D3B9D">
        <w:rPr>
          <w:sz w:val="25"/>
          <w:szCs w:val="25"/>
        </w:rPr>
        <w:t>р</w:t>
      </w:r>
      <w:r w:rsidRPr="006D3B9D">
        <w:rPr>
          <w:sz w:val="25"/>
          <w:szCs w:val="25"/>
        </w:rPr>
        <w:t xml:space="preserve">езультати спеціальної перевірки щодо достовірності відомостей, зазначених особою </w:t>
      </w:r>
      <w:r w:rsidR="00E75808" w:rsidRPr="006D3B9D">
        <w:rPr>
          <w:sz w:val="25"/>
          <w:szCs w:val="25"/>
        </w:rPr>
        <w:t>в</w:t>
      </w:r>
      <w:r w:rsidRPr="006D3B9D">
        <w:rPr>
          <w:sz w:val="25"/>
          <w:szCs w:val="25"/>
        </w:rPr>
        <w:t xml:space="preserve"> </w:t>
      </w:r>
      <w:bookmarkStart w:id="1" w:name="_Hlk205475495"/>
      <w:r w:rsidRPr="006D3B9D">
        <w:rPr>
          <w:sz w:val="25"/>
          <w:szCs w:val="25"/>
        </w:rPr>
        <w:t>декларації особи, уповноваженої на виконання функцій держави або місцевого самоврядування</w:t>
      </w:r>
      <w:bookmarkEnd w:id="1"/>
      <w:r w:rsidR="009F0CA8" w:rsidRPr="006D3B9D">
        <w:rPr>
          <w:sz w:val="25"/>
          <w:szCs w:val="25"/>
        </w:rPr>
        <w:t xml:space="preserve"> (далі – декларація)</w:t>
      </w:r>
      <w:r w:rsidR="00E75808" w:rsidRPr="006D3B9D">
        <w:rPr>
          <w:sz w:val="25"/>
          <w:szCs w:val="25"/>
        </w:rPr>
        <w:t>,</w:t>
      </w:r>
      <w:r w:rsidRPr="006D3B9D">
        <w:rPr>
          <w:sz w:val="25"/>
          <w:szCs w:val="25"/>
        </w:rPr>
        <w:t xml:space="preserve"> за 2024 рік.</w:t>
      </w:r>
    </w:p>
    <w:p w14:paraId="057D7E40" w14:textId="4521255C" w:rsidR="00EB5CB3" w:rsidRPr="006D3B9D" w:rsidRDefault="00EB5CB3"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За інформацією Н</w:t>
      </w:r>
      <w:r w:rsidR="00095213" w:rsidRPr="006D3B9D">
        <w:rPr>
          <w:sz w:val="25"/>
          <w:szCs w:val="25"/>
        </w:rPr>
        <w:t xml:space="preserve">аціонального </w:t>
      </w:r>
      <w:r w:rsidR="00E75808" w:rsidRPr="006D3B9D">
        <w:rPr>
          <w:sz w:val="25"/>
          <w:szCs w:val="25"/>
        </w:rPr>
        <w:t>агентства,</w:t>
      </w:r>
      <w:r w:rsidRPr="006D3B9D">
        <w:rPr>
          <w:sz w:val="25"/>
          <w:szCs w:val="25"/>
        </w:rPr>
        <w:t xml:space="preserve"> у розділі 6 «Цінне рухоме майно </w:t>
      </w:r>
      <w:r w:rsidR="00E75808" w:rsidRPr="006D3B9D">
        <w:rPr>
          <w:sz w:val="25"/>
          <w:szCs w:val="25"/>
        </w:rPr>
        <w:t>–</w:t>
      </w:r>
      <w:r w:rsidRPr="006D3B9D">
        <w:rPr>
          <w:sz w:val="25"/>
          <w:szCs w:val="25"/>
        </w:rPr>
        <w:t xml:space="preserve"> транспортні засоби» декларації </w:t>
      </w:r>
      <w:r w:rsidR="00E75808" w:rsidRPr="006D3B9D">
        <w:rPr>
          <w:sz w:val="25"/>
          <w:szCs w:val="25"/>
        </w:rPr>
        <w:t xml:space="preserve"> за 2024 рік </w:t>
      </w:r>
      <w:r w:rsidRPr="006D3B9D">
        <w:rPr>
          <w:sz w:val="25"/>
          <w:szCs w:val="25"/>
        </w:rPr>
        <w:t>у відомостях про мотоцикл «BAJAJ DOMINA D 400» (2021 р</w:t>
      </w:r>
      <w:r w:rsidR="00467E89" w:rsidRPr="006D3B9D">
        <w:rPr>
          <w:sz w:val="25"/>
          <w:szCs w:val="25"/>
        </w:rPr>
        <w:t xml:space="preserve">оку </w:t>
      </w:r>
      <w:r w:rsidRPr="006D3B9D">
        <w:rPr>
          <w:sz w:val="25"/>
          <w:szCs w:val="25"/>
        </w:rPr>
        <w:t>в</w:t>
      </w:r>
      <w:r w:rsidR="00467E89" w:rsidRPr="006D3B9D">
        <w:rPr>
          <w:sz w:val="25"/>
          <w:szCs w:val="25"/>
        </w:rPr>
        <w:t>ипуску</w:t>
      </w:r>
      <w:r w:rsidRPr="006D3B9D">
        <w:rPr>
          <w:sz w:val="25"/>
          <w:szCs w:val="25"/>
        </w:rPr>
        <w:t xml:space="preserve">) кандидат на посаду </w:t>
      </w:r>
      <w:r w:rsidR="00E75808" w:rsidRPr="006D3B9D">
        <w:rPr>
          <w:sz w:val="25"/>
          <w:szCs w:val="25"/>
        </w:rPr>
        <w:t>судді в</w:t>
      </w:r>
      <w:r w:rsidRPr="006D3B9D">
        <w:rPr>
          <w:sz w:val="25"/>
          <w:szCs w:val="25"/>
        </w:rPr>
        <w:t xml:space="preserve"> полі «Вартість на дату набуття права» зазначи</w:t>
      </w:r>
      <w:r w:rsidR="00E75808" w:rsidRPr="006D3B9D">
        <w:rPr>
          <w:sz w:val="25"/>
          <w:szCs w:val="25"/>
        </w:rPr>
        <w:t>ла</w:t>
      </w:r>
      <w:r w:rsidRPr="006D3B9D">
        <w:rPr>
          <w:sz w:val="25"/>
          <w:szCs w:val="25"/>
        </w:rPr>
        <w:t xml:space="preserve"> вартість мотоцикла</w:t>
      </w:r>
      <w:r w:rsidR="00E75808" w:rsidRPr="006D3B9D">
        <w:rPr>
          <w:sz w:val="25"/>
          <w:szCs w:val="25"/>
        </w:rPr>
        <w:t xml:space="preserve"> –</w:t>
      </w:r>
      <w:r w:rsidRPr="006D3B9D">
        <w:rPr>
          <w:sz w:val="25"/>
          <w:szCs w:val="25"/>
        </w:rPr>
        <w:t xml:space="preserve"> 127</w:t>
      </w:r>
      <w:r w:rsidR="00467E89" w:rsidRPr="006D3B9D">
        <w:rPr>
          <w:sz w:val="25"/>
          <w:szCs w:val="25"/>
        </w:rPr>
        <w:t> </w:t>
      </w:r>
      <w:r w:rsidRPr="006D3B9D">
        <w:rPr>
          <w:sz w:val="25"/>
          <w:szCs w:val="25"/>
        </w:rPr>
        <w:t>071 гр</w:t>
      </w:r>
      <w:r w:rsidR="00E75808" w:rsidRPr="006D3B9D">
        <w:rPr>
          <w:sz w:val="25"/>
          <w:szCs w:val="25"/>
        </w:rPr>
        <w:t>ивень.</w:t>
      </w:r>
      <w:r w:rsidRPr="006D3B9D">
        <w:rPr>
          <w:sz w:val="25"/>
          <w:szCs w:val="25"/>
        </w:rPr>
        <w:t xml:space="preserve"> </w:t>
      </w:r>
      <w:r w:rsidR="00E75808" w:rsidRPr="006D3B9D">
        <w:rPr>
          <w:sz w:val="25"/>
          <w:szCs w:val="25"/>
        </w:rPr>
        <w:t>В</w:t>
      </w:r>
      <w:r w:rsidRPr="006D3B9D">
        <w:rPr>
          <w:sz w:val="25"/>
          <w:szCs w:val="25"/>
        </w:rPr>
        <w:t>ідповідно до відомостей Є</w:t>
      </w:r>
      <w:r w:rsidR="009F0CA8" w:rsidRPr="006D3B9D">
        <w:rPr>
          <w:sz w:val="25"/>
          <w:szCs w:val="25"/>
        </w:rPr>
        <w:t>диного реєстру транспортних засобів (далі – Є</w:t>
      </w:r>
      <w:r w:rsidRPr="006D3B9D">
        <w:rPr>
          <w:sz w:val="25"/>
          <w:szCs w:val="25"/>
        </w:rPr>
        <w:t>ДРТЗ</w:t>
      </w:r>
      <w:r w:rsidR="009F0CA8" w:rsidRPr="006D3B9D">
        <w:rPr>
          <w:sz w:val="25"/>
          <w:szCs w:val="25"/>
        </w:rPr>
        <w:t>)</w:t>
      </w:r>
      <w:r w:rsidR="00E75808" w:rsidRPr="006D3B9D">
        <w:rPr>
          <w:sz w:val="25"/>
          <w:szCs w:val="25"/>
        </w:rPr>
        <w:t xml:space="preserve"> вартість мотоцикла становить 60 396 грн</w:t>
      </w:r>
      <w:r w:rsidRPr="006D3B9D">
        <w:rPr>
          <w:sz w:val="25"/>
          <w:szCs w:val="25"/>
        </w:rPr>
        <w:t>.</w:t>
      </w:r>
    </w:p>
    <w:p w14:paraId="3DA389A2" w14:textId="67C8A036" w:rsidR="00EB5CB3" w:rsidRPr="006D3B9D" w:rsidRDefault="00EB5CB3"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розділі 11 «Доходи, у тому числі подарунки» декларації за 2024 рік кандидат на посаду зазначи</w:t>
      </w:r>
      <w:r w:rsidR="00E75808" w:rsidRPr="006D3B9D">
        <w:rPr>
          <w:sz w:val="25"/>
          <w:szCs w:val="25"/>
        </w:rPr>
        <w:t>ла</w:t>
      </w:r>
      <w:r w:rsidRPr="006D3B9D">
        <w:rPr>
          <w:sz w:val="25"/>
          <w:szCs w:val="25"/>
        </w:rPr>
        <w:t xml:space="preserve"> відомості про власний дохід від зайняття підприємницькою діяльністю </w:t>
      </w:r>
      <w:r w:rsidR="00E75808" w:rsidRPr="006D3B9D">
        <w:rPr>
          <w:sz w:val="25"/>
          <w:szCs w:val="25"/>
        </w:rPr>
        <w:t>в</w:t>
      </w:r>
      <w:r w:rsidRPr="006D3B9D">
        <w:rPr>
          <w:sz w:val="25"/>
          <w:szCs w:val="25"/>
        </w:rPr>
        <w:t xml:space="preserve"> сумі 950</w:t>
      </w:r>
      <w:r w:rsidR="00AA4FC5" w:rsidRPr="006D3B9D">
        <w:rPr>
          <w:sz w:val="25"/>
          <w:szCs w:val="25"/>
        </w:rPr>
        <w:t> </w:t>
      </w:r>
      <w:r w:rsidRPr="006D3B9D">
        <w:rPr>
          <w:sz w:val="25"/>
          <w:szCs w:val="25"/>
        </w:rPr>
        <w:t xml:space="preserve">000 грн, інформація про який відсутня </w:t>
      </w:r>
      <w:r w:rsidR="00E75808" w:rsidRPr="006D3B9D">
        <w:rPr>
          <w:sz w:val="25"/>
          <w:szCs w:val="25"/>
        </w:rPr>
        <w:t>у</w:t>
      </w:r>
      <w:r w:rsidRPr="006D3B9D">
        <w:rPr>
          <w:sz w:val="25"/>
          <w:szCs w:val="25"/>
        </w:rPr>
        <w:t xml:space="preserve"> відомост</w:t>
      </w:r>
      <w:r w:rsidR="00E75808" w:rsidRPr="006D3B9D">
        <w:rPr>
          <w:sz w:val="25"/>
          <w:szCs w:val="25"/>
        </w:rPr>
        <w:t>ях</w:t>
      </w:r>
      <w:r w:rsidRPr="006D3B9D">
        <w:rPr>
          <w:sz w:val="25"/>
          <w:szCs w:val="25"/>
        </w:rPr>
        <w:t xml:space="preserve"> </w:t>
      </w:r>
      <w:r w:rsidR="006C7C31" w:rsidRPr="006D3B9D">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6C7C31" w:rsidRPr="006D3B9D">
        <w:rPr>
          <w:sz w:val="25"/>
          <w:szCs w:val="25"/>
        </w:rPr>
        <w:t>самозайнятими</w:t>
      </w:r>
      <w:proofErr w:type="spellEnd"/>
      <w:r w:rsidR="006C7C31" w:rsidRPr="006D3B9D">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Pr="006D3B9D">
        <w:rPr>
          <w:sz w:val="25"/>
          <w:szCs w:val="25"/>
        </w:rPr>
        <w:t>.</w:t>
      </w:r>
    </w:p>
    <w:p w14:paraId="185077D8" w14:textId="43763405" w:rsidR="009F0CA8" w:rsidRPr="006D3B9D" w:rsidRDefault="00EB5CB3"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розбіжностей у розділі 6 «Цінне рухоме майно </w:t>
      </w:r>
      <w:r w:rsidR="00E75808" w:rsidRPr="006D3B9D">
        <w:rPr>
          <w:sz w:val="25"/>
          <w:szCs w:val="25"/>
        </w:rPr>
        <w:t>–</w:t>
      </w:r>
      <w:r w:rsidRPr="006D3B9D">
        <w:rPr>
          <w:sz w:val="25"/>
          <w:szCs w:val="25"/>
        </w:rPr>
        <w:t xml:space="preserve"> транспортні засоби» декларації кандидатка повідомила таке.</w:t>
      </w:r>
    </w:p>
    <w:p w14:paraId="6C0B8C17" w14:textId="1634707C" w:rsidR="00EB5CB3" w:rsidRPr="006D3B9D" w:rsidRDefault="00EB5CB3"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Мотоцикл «BAJAJ DOMINA D 400» (2021 р</w:t>
      </w:r>
      <w:r w:rsidR="00AA4FC5" w:rsidRPr="006D3B9D">
        <w:rPr>
          <w:sz w:val="25"/>
          <w:szCs w:val="25"/>
        </w:rPr>
        <w:t>оку</w:t>
      </w:r>
      <w:r w:rsidRPr="006D3B9D">
        <w:rPr>
          <w:sz w:val="25"/>
          <w:szCs w:val="25"/>
        </w:rPr>
        <w:t xml:space="preserve"> в</w:t>
      </w:r>
      <w:r w:rsidR="00AA4FC5" w:rsidRPr="006D3B9D">
        <w:rPr>
          <w:sz w:val="25"/>
          <w:szCs w:val="25"/>
        </w:rPr>
        <w:t>ипуску</w:t>
      </w:r>
      <w:r w:rsidRPr="006D3B9D">
        <w:rPr>
          <w:sz w:val="25"/>
          <w:szCs w:val="25"/>
        </w:rPr>
        <w:t xml:space="preserve">) належить на праві власності її сину </w:t>
      </w:r>
      <w:r w:rsidR="00E75808" w:rsidRPr="006D3B9D">
        <w:rPr>
          <w:sz w:val="25"/>
          <w:szCs w:val="25"/>
        </w:rPr>
        <w:t>–</w:t>
      </w:r>
      <w:r w:rsidRPr="006D3B9D">
        <w:rPr>
          <w:sz w:val="25"/>
          <w:szCs w:val="25"/>
        </w:rPr>
        <w:t xml:space="preserve"> </w:t>
      </w:r>
      <w:r w:rsidR="000D6FF8">
        <w:rPr>
          <w:sz w:val="25"/>
          <w:szCs w:val="25"/>
        </w:rPr>
        <w:t>ОСОБА_1</w:t>
      </w:r>
      <w:r w:rsidRPr="006D3B9D">
        <w:rPr>
          <w:sz w:val="25"/>
          <w:szCs w:val="25"/>
        </w:rPr>
        <w:t>, який самостійно займався його придбанням та реєстрацією прав власності на нього у встановленому законодавством порядку.</w:t>
      </w:r>
    </w:p>
    <w:p w14:paraId="14061546" w14:textId="686531D1" w:rsidR="00EB5CB3" w:rsidRPr="006D3B9D" w:rsidRDefault="00EB5CB3" w:rsidP="00EB5CB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Відомості про транспортний засіб, який належить члену сім’ї</w:t>
      </w:r>
      <w:r w:rsidR="00E75808" w:rsidRPr="006D3B9D">
        <w:rPr>
          <w:sz w:val="25"/>
          <w:szCs w:val="25"/>
        </w:rPr>
        <w:t>,</w:t>
      </w:r>
      <w:r w:rsidRPr="006D3B9D">
        <w:rPr>
          <w:sz w:val="25"/>
          <w:szCs w:val="25"/>
        </w:rPr>
        <w:t xml:space="preserve"> </w:t>
      </w:r>
      <w:proofErr w:type="spellStart"/>
      <w:r w:rsidRPr="006D3B9D">
        <w:rPr>
          <w:sz w:val="25"/>
          <w:szCs w:val="25"/>
        </w:rPr>
        <w:t>внесен</w:t>
      </w:r>
      <w:r w:rsidR="00E75808" w:rsidRPr="006D3B9D">
        <w:rPr>
          <w:sz w:val="25"/>
          <w:szCs w:val="25"/>
        </w:rPr>
        <w:t>о</w:t>
      </w:r>
      <w:proofErr w:type="spellEnd"/>
      <w:r w:rsidRPr="006D3B9D">
        <w:rPr>
          <w:sz w:val="25"/>
          <w:szCs w:val="25"/>
        </w:rPr>
        <w:t xml:space="preserve"> до декларації з його слів та на підставі наданих ним документів: технічного паспорт</w:t>
      </w:r>
      <w:r w:rsidR="00E75808" w:rsidRPr="006D3B9D">
        <w:rPr>
          <w:sz w:val="25"/>
          <w:szCs w:val="25"/>
        </w:rPr>
        <w:t>а</w:t>
      </w:r>
      <w:r w:rsidRPr="006D3B9D">
        <w:rPr>
          <w:sz w:val="25"/>
          <w:szCs w:val="25"/>
        </w:rPr>
        <w:t xml:space="preserve"> на </w:t>
      </w:r>
      <w:r w:rsidR="009F0CA8" w:rsidRPr="006D3B9D">
        <w:rPr>
          <w:sz w:val="25"/>
          <w:szCs w:val="25"/>
        </w:rPr>
        <w:t>транспортний засіб</w:t>
      </w:r>
      <w:r w:rsidRPr="006D3B9D">
        <w:rPr>
          <w:sz w:val="25"/>
          <w:szCs w:val="25"/>
        </w:rPr>
        <w:t xml:space="preserve"> </w:t>
      </w:r>
      <w:r w:rsidR="009F0CA8" w:rsidRPr="006D3B9D">
        <w:rPr>
          <w:sz w:val="25"/>
          <w:szCs w:val="25"/>
        </w:rPr>
        <w:t xml:space="preserve">(далі – ТЗ) </w:t>
      </w:r>
      <w:r w:rsidRPr="006D3B9D">
        <w:rPr>
          <w:sz w:val="25"/>
          <w:szCs w:val="25"/>
        </w:rPr>
        <w:t xml:space="preserve">та </w:t>
      </w:r>
      <w:proofErr w:type="spellStart"/>
      <w:r w:rsidR="009F0CA8" w:rsidRPr="006D3B9D">
        <w:rPr>
          <w:sz w:val="25"/>
          <w:szCs w:val="25"/>
        </w:rPr>
        <w:t>А</w:t>
      </w:r>
      <w:r w:rsidRPr="006D3B9D">
        <w:rPr>
          <w:sz w:val="25"/>
          <w:szCs w:val="25"/>
        </w:rPr>
        <w:t>кт</w:t>
      </w:r>
      <w:r w:rsidR="00E75808" w:rsidRPr="006D3B9D">
        <w:rPr>
          <w:sz w:val="25"/>
          <w:szCs w:val="25"/>
        </w:rPr>
        <w:t>а</w:t>
      </w:r>
      <w:proofErr w:type="spellEnd"/>
      <w:r w:rsidRPr="006D3B9D">
        <w:rPr>
          <w:sz w:val="25"/>
          <w:szCs w:val="25"/>
        </w:rPr>
        <w:t xml:space="preserve"> виконаних робіт (послуг)</w:t>
      </w:r>
      <w:r w:rsidR="009F0CA8" w:rsidRPr="006D3B9D">
        <w:rPr>
          <w:sz w:val="25"/>
          <w:szCs w:val="25"/>
        </w:rPr>
        <w:t xml:space="preserve"> від 11 травня 2021 року</w:t>
      </w:r>
      <w:r w:rsidRPr="006D3B9D">
        <w:rPr>
          <w:sz w:val="25"/>
          <w:szCs w:val="25"/>
        </w:rPr>
        <w:t xml:space="preserve"> № Пан0-00982, у якому зазначено загальну вартість ТЗ – 127</w:t>
      </w:r>
      <w:r w:rsidR="00AA4FC5" w:rsidRPr="006D3B9D">
        <w:rPr>
          <w:sz w:val="25"/>
          <w:szCs w:val="25"/>
        </w:rPr>
        <w:t> </w:t>
      </w:r>
      <w:r w:rsidRPr="006D3B9D">
        <w:rPr>
          <w:sz w:val="25"/>
          <w:szCs w:val="25"/>
        </w:rPr>
        <w:t>071 грн (з урахуванням вартості послуг продавця щодо державної реєстрації права власності). Саме таку суму кандидат</w:t>
      </w:r>
      <w:r w:rsidR="00E75808" w:rsidRPr="006D3B9D">
        <w:rPr>
          <w:sz w:val="25"/>
          <w:szCs w:val="25"/>
        </w:rPr>
        <w:t>ка</w:t>
      </w:r>
      <w:r w:rsidRPr="006D3B9D">
        <w:rPr>
          <w:sz w:val="25"/>
          <w:szCs w:val="25"/>
        </w:rPr>
        <w:t xml:space="preserve"> зазначила в розділі 6 декларації у графі «вартість на дату </w:t>
      </w:r>
      <w:r w:rsidR="009F0CA8" w:rsidRPr="006D3B9D">
        <w:rPr>
          <w:sz w:val="25"/>
          <w:szCs w:val="25"/>
        </w:rPr>
        <w:t>н</w:t>
      </w:r>
      <w:r w:rsidRPr="006D3B9D">
        <w:rPr>
          <w:sz w:val="25"/>
          <w:szCs w:val="25"/>
        </w:rPr>
        <w:t>абуття права».</w:t>
      </w:r>
    </w:p>
    <w:p w14:paraId="5ED6A89B" w14:textId="4664E012" w:rsidR="00EB5CB3"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Кандидатка відзначила, що їй як суб’єкту декларування, а також її сину як власнику ТЗ невідомо</w:t>
      </w:r>
      <w:r w:rsidR="00E75808" w:rsidRPr="006D3B9D">
        <w:rPr>
          <w:sz w:val="25"/>
          <w:szCs w:val="25"/>
        </w:rPr>
        <w:t>,</w:t>
      </w:r>
      <w:r w:rsidRPr="006D3B9D">
        <w:rPr>
          <w:sz w:val="25"/>
          <w:szCs w:val="25"/>
        </w:rPr>
        <w:t xml:space="preserve"> чому продавець як надавач послуг з державної реєстрації права власності на ТЗ зазначив у ЄДРТЗ вартість 60</w:t>
      </w:r>
      <w:r w:rsidR="00AA4FC5" w:rsidRPr="006D3B9D">
        <w:rPr>
          <w:sz w:val="25"/>
          <w:szCs w:val="25"/>
        </w:rPr>
        <w:t> </w:t>
      </w:r>
      <w:r w:rsidRPr="006D3B9D">
        <w:rPr>
          <w:sz w:val="25"/>
          <w:szCs w:val="25"/>
        </w:rPr>
        <w:t>396 грн, що не відповідає фактично сплаченій сумі та ринковій вартості мотоцикла на дату його придбання, що підтверджується таким:</w:t>
      </w:r>
      <w:r w:rsidR="00AA4FC5" w:rsidRPr="006D3B9D">
        <w:rPr>
          <w:sz w:val="25"/>
          <w:szCs w:val="25"/>
        </w:rPr>
        <w:t xml:space="preserve"> </w:t>
      </w:r>
      <w:r w:rsidRPr="006D3B9D">
        <w:rPr>
          <w:sz w:val="25"/>
          <w:szCs w:val="25"/>
        </w:rPr>
        <w:t>відповідно до офіційного курсу НБУ</w:t>
      </w:r>
      <w:r w:rsidR="001C0977" w:rsidRPr="006D3B9D">
        <w:rPr>
          <w:sz w:val="25"/>
          <w:szCs w:val="25"/>
        </w:rPr>
        <w:t xml:space="preserve"> станом</w:t>
      </w:r>
      <w:r w:rsidRPr="006D3B9D">
        <w:rPr>
          <w:sz w:val="25"/>
          <w:szCs w:val="25"/>
        </w:rPr>
        <w:t xml:space="preserve"> на 11</w:t>
      </w:r>
      <w:r w:rsidR="00AA4FC5" w:rsidRPr="006D3B9D">
        <w:rPr>
          <w:sz w:val="25"/>
          <w:szCs w:val="25"/>
        </w:rPr>
        <w:t xml:space="preserve"> травня </w:t>
      </w:r>
      <w:r w:rsidRPr="006D3B9D">
        <w:rPr>
          <w:sz w:val="25"/>
          <w:szCs w:val="25"/>
        </w:rPr>
        <w:t>2021</w:t>
      </w:r>
      <w:r w:rsidR="00221679" w:rsidRPr="006D3B9D">
        <w:rPr>
          <w:sz w:val="25"/>
          <w:szCs w:val="25"/>
        </w:rPr>
        <w:t> </w:t>
      </w:r>
      <w:r w:rsidR="00AA4FC5" w:rsidRPr="006D3B9D">
        <w:rPr>
          <w:sz w:val="25"/>
          <w:szCs w:val="25"/>
        </w:rPr>
        <w:t>року</w:t>
      </w:r>
      <w:r w:rsidRPr="006D3B9D">
        <w:rPr>
          <w:sz w:val="25"/>
          <w:szCs w:val="25"/>
        </w:rPr>
        <w:t xml:space="preserve"> курс становив 28 грн</w:t>
      </w:r>
      <w:r w:rsidR="00AA4FC5" w:rsidRPr="006D3B9D">
        <w:rPr>
          <w:sz w:val="25"/>
          <w:szCs w:val="25"/>
        </w:rPr>
        <w:t xml:space="preserve"> з</w:t>
      </w:r>
      <w:r w:rsidRPr="006D3B9D">
        <w:rPr>
          <w:sz w:val="25"/>
          <w:szCs w:val="25"/>
        </w:rPr>
        <w:t xml:space="preserve">а 1 </w:t>
      </w:r>
      <w:proofErr w:type="spellStart"/>
      <w:r w:rsidRPr="006D3B9D">
        <w:rPr>
          <w:sz w:val="25"/>
          <w:szCs w:val="25"/>
        </w:rPr>
        <w:t>дол</w:t>
      </w:r>
      <w:proofErr w:type="spellEnd"/>
      <w:r w:rsidR="00AA4FC5" w:rsidRPr="006D3B9D">
        <w:rPr>
          <w:sz w:val="25"/>
          <w:szCs w:val="25"/>
        </w:rPr>
        <w:t>.</w:t>
      </w:r>
      <w:r w:rsidRPr="006D3B9D">
        <w:rPr>
          <w:sz w:val="25"/>
          <w:szCs w:val="25"/>
        </w:rPr>
        <w:t xml:space="preserve"> США;</w:t>
      </w:r>
      <w:r w:rsidR="00AA4FC5" w:rsidRPr="006D3B9D">
        <w:rPr>
          <w:sz w:val="25"/>
          <w:szCs w:val="25"/>
        </w:rPr>
        <w:t xml:space="preserve"> </w:t>
      </w:r>
      <w:r w:rsidRPr="006D3B9D">
        <w:rPr>
          <w:sz w:val="25"/>
          <w:szCs w:val="25"/>
        </w:rPr>
        <w:t>вартість мотоцикла згідно з Акт</w:t>
      </w:r>
      <w:r w:rsidR="001C0977" w:rsidRPr="006D3B9D">
        <w:rPr>
          <w:sz w:val="25"/>
          <w:szCs w:val="25"/>
        </w:rPr>
        <w:t>ом</w:t>
      </w:r>
      <w:r w:rsidRPr="006D3B9D">
        <w:rPr>
          <w:sz w:val="25"/>
          <w:szCs w:val="25"/>
        </w:rPr>
        <w:t xml:space="preserve"> виконаних робіт (послуг) № Пан0-00982 від 11</w:t>
      </w:r>
      <w:r w:rsidR="009F0CA8" w:rsidRPr="006D3B9D">
        <w:rPr>
          <w:sz w:val="25"/>
          <w:szCs w:val="25"/>
        </w:rPr>
        <w:t xml:space="preserve"> травня </w:t>
      </w:r>
      <w:r w:rsidRPr="006D3B9D">
        <w:rPr>
          <w:sz w:val="25"/>
          <w:szCs w:val="25"/>
        </w:rPr>
        <w:t>2021</w:t>
      </w:r>
      <w:r w:rsidR="009F0CA8" w:rsidRPr="006D3B9D">
        <w:rPr>
          <w:sz w:val="25"/>
          <w:szCs w:val="25"/>
        </w:rPr>
        <w:t xml:space="preserve"> року</w:t>
      </w:r>
      <w:r w:rsidRPr="006D3B9D">
        <w:rPr>
          <w:sz w:val="25"/>
          <w:szCs w:val="25"/>
        </w:rPr>
        <w:t xml:space="preserve"> з урахуванням вартості послуг з державно</w:t>
      </w:r>
      <w:r w:rsidR="00095213" w:rsidRPr="006D3B9D">
        <w:rPr>
          <w:sz w:val="25"/>
          <w:szCs w:val="25"/>
        </w:rPr>
        <w:t>ї</w:t>
      </w:r>
      <w:r w:rsidRPr="006D3B9D">
        <w:rPr>
          <w:sz w:val="25"/>
          <w:szCs w:val="25"/>
        </w:rPr>
        <w:t xml:space="preserve"> реєстраці</w:t>
      </w:r>
      <w:r w:rsidR="00095213" w:rsidRPr="006D3B9D">
        <w:rPr>
          <w:sz w:val="25"/>
          <w:szCs w:val="25"/>
        </w:rPr>
        <w:t>ї</w:t>
      </w:r>
      <w:r w:rsidRPr="006D3B9D">
        <w:rPr>
          <w:sz w:val="25"/>
          <w:szCs w:val="25"/>
        </w:rPr>
        <w:t xml:space="preserve"> права власності на нього становила 4</w:t>
      </w:r>
      <w:r w:rsidR="00AA4FC5" w:rsidRPr="006D3B9D">
        <w:rPr>
          <w:sz w:val="25"/>
          <w:szCs w:val="25"/>
        </w:rPr>
        <w:t> </w:t>
      </w:r>
      <w:r w:rsidRPr="006D3B9D">
        <w:rPr>
          <w:sz w:val="25"/>
          <w:szCs w:val="25"/>
        </w:rPr>
        <w:t xml:space="preserve">500 </w:t>
      </w:r>
      <w:proofErr w:type="spellStart"/>
      <w:r w:rsidRPr="006D3B9D">
        <w:rPr>
          <w:sz w:val="25"/>
          <w:szCs w:val="25"/>
        </w:rPr>
        <w:t>дол</w:t>
      </w:r>
      <w:proofErr w:type="spellEnd"/>
      <w:r w:rsidRPr="006D3B9D">
        <w:rPr>
          <w:sz w:val="25"/>
          <w:szCs w:val="25"/>
        </w:rPr>
        <w:t>. США</w:t>
      </w:r>
      <w:r w:rsidR="00AA4FC5" w:rsidRPr="006D3B9D">
        <w:rPr>
          <w:sz w:val="25"/>
          <w:szCs w:val="25"/>
        </w:rPr>
        <w:t>. Н</w:t>
      </w:r>
      <w:r w:rsidRPr="006D3B9D">
        <w:rPr>
          <w:sz w:val="25"/>
          <w:szCs w:val="25"/>
        </w:rPr>
        <w:t xml:space="preserve">атомість вартість, визначена ФОП </w:t>
      </w:r>
      <w:r w:rsidR="000D6FF8">
        <w:rPr>
          <w:sz w:val="25"/>
          <w:szCs w:val="25"/>
        </w:rPr>
        <w:t>ОСОБА_2</w:t>
      </w:r>
      <w:r w:rsidRPr="006D3B9D">
        <w:rPr>
          <w:sz w:val="25"/>
          <w:szCs w:val="25"/>
        </w:rPr>
        <w:t xml:space="preserve"> </w:t>
      </w:r>
      <w:r w:rsidR="009F0CA8" w:rsidRPr="006D3B9D">
        <w:rPr>
          <w:sz w:val="25"/>
          <w:szCs w:val="25"/>
        </w:rPr>
        <w:t>(</w:t>
      </w:r>
      <w:r w:rsidRPr="006D3B9D">
        <w:rPr>
          <w:sz w:val="25"/>
          <w:szCs w:val="25"/>
        </w:rPr>
        <w:t xml:space="preserve">ЄДРПОУ </w:t>
      </w:r>
      <w:r w:rsidR="000D6FF8">
        <w:rPr>
          <w:sz w:val="25"/>
          <w:szCs w:val="25"/>
        </w:rPr>
        <w:t>НОМЕР_1</w:t>
      </w:r>
      <w:r w:rsidR="009F0CA8" w:rsidRPr="006D3B9D">
        <w:rPr>
          <w:sz w:val="25"/>
          <w:szCs w:val="25"/>
        </w:rPr>
        <w:t>)</w:t>
      </w:r>
      <w:r w:rsidRPr="006D3B9D">
        <w:rPr>
          <w:sz w:val="25"/>
          <w:szCs w:val="25"/>
        </w:rPr>
        <w:t xml:space="preserve"> та указана ним під час державної реєстрації права власності</w:t>
      </w:r>
      <w:r w:rsidR="001C0977" w:rsidRPr="006D3B9D">
        <w:rPr>
          <w:sz w:val="25"/>
          <w:szCs w:val="25"/>
        </w:rPr>
        <w:t>,</w:t>
      </w:r>
      <w:r w:rsidRPr="006D3B9D">
        <w:rPr>
          <w:sz w:val="25"/>
          <w:szCs w:val="25"/>
        </w:rPr>
        <w:t xml:space="preserve"> становить 2</w:t>
      </w:r>
      <w:r w:rsidR="00AA4FC5" w:rsidRPr="006D3B9D">
        <w:rPr>
          <w:sz w:val="25"/>
          <w:szCs w:val="25"/>
        </w:rPr>
        <w:t> </w:t>
      </w:r>
      <w:r w:rsidRPr="006D3B9D">
        <w:rPr>
          <w:sz w:val="25"/>
          <w:szCs w:val="25"/>
        </w:rPr>
        <w:t xml:space="preserve">150 </w:t>
      </w:r>
      <w:proofErr w:type="spellStart"/>
      <w:r w:rsidRPr="006D3B9D">
        <w:rPr>
          <w:sz w:val="25"/>
          <w:szCs w:val="25"/>
        </w:rPr>
        <w:t>дол</w:t>
      </w:r>
      <w:proofErr w:type="spellEnd"/>
      <w:r w:rsidRPr="006D3B9D">
        <w:rPr>
          <w:sz w:val="25"/>
          <w:szCs w:val="25"/>
        </w:rPr>
        <w:t>. США</w:t>
      </w:r>
      <w:r w:rsidR="00095213" w:rsidRPr="006D3B9D">
        <w:rPr>
          <w:sz w:val="25"/>
          <w:szCs w:val="25"/>
        </w:rPr>
        <w:t>.</w:t>
      </w:r>
    </w:p>
    <w:p w14:paraId="0030028A" w14:textId="58D36FBC"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 підтвердження дійсної ринкової вартості мотоцикла станом на 27</w:t>
      </w:r>
      <w:r w:rsidR="00AA4FC5" w:rsidRPr="006D3B9D">
        <w:rPr>
          <w:sz w:val="25"/>
          <w:szCs w:val="25"/>
        </w:rPr>
        <w:t xml:space="preserve"> червня </w:t>
      </w:r>
      <w:r w:rsidRPr="006D3B9D">
        <w:rPr>
          <w:sz w:val="25"/>
          <w:szCs w:val="25"/>
        </w:rPr>
        <w:t>2025</w:t>
      </w:r>
      <w:r w:rsidR="00AA4FC5" w:rsidRPr="006D3B9D">
        <w:rPr>
          <w:sz w:val="25"/>
          <w:szCs w:val="25"/>
        </w:rPr>
        <w:t xml:space="preserve"> року</w:t>
      </w:r>
      <w:r w:rsidRPr="006D3B9D">
        <w:rPr>
          <w:sz w:val="25"/>
          <w:szCs w:val="25"/>
        </w:rPr>
        <w:t xml:space="preserve"> кандидат надала: роздруківку з сайту htppps://automato/ua, згідно з якою вартість мотоцикла </w:t>
      </w:r>
      <w:r w:rsidR="00095213" w:rsidRPr="006D3B9D">
        <w:rPr>
          <w:sz w:val="25"/>
          <w:szCs w:val="25"/>
        </w:rPr>
        <w:t xml:space="preserve">марки </w:t>
      </w:r>
      <w:r w:rsidRPr="006D3B9D">
        <w:rPr>
          <w:sz w:val="25"/>
          <w:szCs w:val="25"/>
        </w:rPr>
        <w:t>«BAJAJ DOMINA D 400» 2021 року випуску без пробігу с</w:t>
      </w:r>
      <w:r w:rsidR="001C0977" w:rsidRPr="006D3B9D">
        <w:rPr>
          <w:sz w:val="25"/>
          <w:szCs w:val="25"/>
        </w:rPr>
        <w:t>тановить</w:t>
      </w:r>
      <w:r w:rsidRPr="006D3B9D">
        <w:rPr>
          <w:sz w:val="25"/>
          <w:szCs w:val="25"/>
        </w:rPr>
        <w:t xml:space="preserve"> від 4</w:t>
      </w:r>
      <w:r w:rsidR="00AA4FC5" w:rsidRPr="006D3B9D">
        <w:rPr>
          <w:sz w:val="25"/>
          <w:szCs w:val="25"/>
        </w:rPr>
        <w:t> </w:t>
      </w:r>
      <w:r w:rsidRPr="006D3B9D">
        <w:rPr>
          <w:sz w:val="25"/>
          <w:szCs w:val="25"/>
        </w:rPr>
        <w:t>500</w:t>
      </w:r>
      <w:r w:rsidR="00AA4FC5" w:rsidRPr="006D3B9D">
        <w:rPr>
          <w:sz w:val="25"/>
          <w:szCs w:val="25"/>
        </w:rPr>
        <w:t> </w:t>
      </w:r>
      <w:proofErr w:type="spellStart"/>
      <w:r w:rsidRPr="006D3B9D">
        <w:rPr>
          <w:sz w:val="25"/>
          <w:szCs w:val="25"/>
        </w:rPr>
        <w:t>дол</w:t>
      </w:r>
      <w:proofErr w:type="spellEnd"/>
      <w:r w:rsidRPr="006D3B9D">
        <w:rPr>
          <w:sz w:val="25"/>
          <w:szCs w:val="25"/>
        </w:rPr>
        <w:t>.</w:t>
      </w:r>
      <w:r w:rsidR="00AA4FC5" w:rsidRPr="006D3B9D">
        <w:rPr>
          <w:sz w:val="25"/>
          <w:szCs w:val="25"/>
        </w:rPr>
        <w:t> </w:t>
      </w:r>
      <w:r w:rsidRPr="006D3B9D">
        <w:rPr>
          <w:sz w:val="25"/>
          <w:szCs w:val="25"/>
        </w:rPr>
        <w:t>США, а з пробігом</w:t>
      </w:r>
      <w:r w:rsidR="001C0977" w:rsidRPr="006D3B9D">
        <w:rPr>
          <w:sz w:val="25"/>
          <w:szCs w:val="25"/>
        </w:rPr>
        <w:t xml:space="preserve"> –</w:t>
      </w:r>
      <w:r w:rsidRPr="006D3B9D">
        <w:rPr>
          <w:sz w:val="25"/>
          <w:szCs w:val="25"/>
        </w:rPr>
        <w:t xml:space="preserve"> близько 3</w:t>
      </w:r>
      <w:r w:rsidR="009F0CA8" w:rsidRPr="006D3B9D">
        <w:rPr>
          <w:sz w:val="25"/>
          <w:szCs w:val="25"/>
        </w:rPr>
        <w:t> </w:t>
      </w:r>
      <w:r w:rsidRPr="006D3B9D">
        <w:rPr>
          <w:sz w:val="25"/>
          <w:szCs w:val="25"/>
        </w:rPr>
        <w:t xml:space="preserve">200 </w:t>
      </w:r>
      <w:proofErr w:type="spellStart"/>
      <w:r w:rsidRPr="006D3B9D">
        <w:rPr>
          <w:sz w:val="25"/>
          <w:szCs w:val="25"/>
        </w:rPr>
        <w:t>дол</w:t>
      </w:r>
      <w:proofErr w:type="spellEnd"/>
      <w:r w:rsidRPr="006D3B9D">
        <w:rPr>
          <w:sz w:val="25"/>
          <w:szCs w:val="25"/>
        </w:rPr>
        <w:t>. США</w:t>
      </w:r>
      <w:r w:rsidR="009F0CA8" w:rsidRPr="006D3B9D">
        <w:rPr>
          <w:sz w:val="25"/>
          <w:szCs w:val="25"/>
        </w:rPr>
        <w:t>;</w:t>
      </w:r>
      <w:r w:rsidR="00AA4FC5" w:rsidRPr="006D3B9D">
        <w:rPr>
          <w:sz w:val="25"/>
          <w:szCs w:val="25"/>
        </w:rPr>
        <w:t xml:space="preserve"> з</w:t>
      </w:r>
      <w:r w:rsidRPr="006D3B9D">
        <w:rPr>
          <w:sz w:val="25"/>
          <w:szCs w:val="25"/>
        </w:rPr>
        <w:t>віт про вартість майна №</w:t>
      </w:r>
      <w:r w:rsidR="001C0977" w:rsidRPr="006D3B9D">
        <w:rPr>
          <w:sz w:val="25"/>
          <w:szCs w:val="25"/>
        </w:rPr>
        <w:t> </w:t>
      </w:r>
      <w:r w:rsidRPr="006D3B9D">
        <w:rPr>
          <w:sz w:val="25"/>
          <w:szCs w:val="25"/>
        </w:rPr>
        <w:t>18</w:t>
      </w:r>
      <w:r w:rsidR="001C0977" w:rsidRPr="006D3B9D">
        <w:rPr>
          <w:sz w:val="25"/>
          <w:szCs w:val="25"/>
        </w:rPr>
        <w:t>- </w:t>
      </w:r>
      <w:r w:rsidRPr="006D3B9D">
        <w:rPr>
          <w:sz w:val="25"/>
          <w:szCs w:val="25"/>
        </w:rPr>
        <w:t>280627-003 від 27</w:t>
      </w:r>
      <w:r w:rsidR="00AA4FC5" w:rsidRPr="006D3B9D">
        <w:rPr>
          <w:sz w:val="25"/>
          <w:szCs w:val="25"/>
        </w:rPr>
        <w:t xml:space="preserve"> червня </w:t>
      </w:r>
      <w:r w:rsidRPr="006D3B9D">
        <w:rPr>
          <w:sz w:val="25"/>
          <w:szCs w:val="25"/>
        </w:rPr>
        <w:t>2025</w:t>
      </w:r>
      <w:r w:rsidR="00AA4FC5" w:rsidRPr="006D3B9D">
        <w:rPr>
          <w:sz w:val="25"/>
          <w:szCs w:val="25"/>
        </w:rPr>
        <w:t xml:space="preserve"> року</w:t>
      </w:r>
      <w:r w:rsidRPr="006D3B9D">
        <w:rPr>
          <w:sz w:val="25"/>
          <w:szCs w:val="25"/>
        </w:rPr>
        <w:t xml:space="preserve">, </w:t>
      </w:r>
      <w:r w:rsidR="001C0977" w:rsidRPr="006D3B9D">
        <w:rPr>
          <w:sz w:val="25"/>
          <w:szCs w:val="25"/>
        </w:rPr>
        <w:t>відповідно до якого</w:t>
      </w:r>
      <w:r w:rsidRPr="006D3B9D">
        <w:rPr>
          <w:sz w:val="25"/>
          <w:szCs w:val="25"/>
        </w:rPr>
        <w:t xml:space="preserve"> ринкова вартість мотоцикла з пробігом орієнтовно 8</w:t>
      </w:r>
      <w:r w:rsidR="00AA4FC5" w:rsidRPr="006D3B9D">
        <w:rPr>
          <w:sz w:val="25"/>
          <w:szCs w:val="25"/>
        </w:rPr>
        <w:t> </w:t>
      </w:r>
      <w:r w:rsidRPr="006D3B9D">
        <w:rPr>
          <w:sz w:val="25"/>
          <w:szCs w:val="25"/>
        </w:rPr>
        <w:t>000 км становить 126</w:t>
      </w:r>
      <w:r w:rsidR="00AA4FC5" w:rsidRPr="006D3B9D">
        <w:rPr>
          <w:sz w:val="25"/>
          <w:szCs w:val="25"/>
        </w:rPr>
        <w:t> </w:t>
      </w:r>
      <w:r w:rsidRPr="006D3B9D">
        <w:rPr>
          <w:sz w:val="25"/>
          <w:szCs w:val="25"/>
        </w:rPr>
        <w:t>899</w:t>
      </w:r>
      <w:r w:rsidR="00AA4FC5" w:rsidRPr="006D3B9D">
        <w:rPr>
          <w:sz w:val="25"/>
          <w:szCs w:val="25"/>
        </w:rPr>
        <w:t xml:space="preserve"> </w:t>
      </w:r>
      <w:r w:rsidRPr="006D3B9D">
        <w:rPr>
          <w:sz w:val="25"/>
          <w:szCs w:val="25"/>
        </w:rPr>
        <w:t>грн (еквівалентно 3</w:t>
      </w:r>
      <w:r w:rsidR="00221679" w:rsidRPr="006D3B9D">
        <w:rPr>
          <w:sz w:val="25"/>
          <w:szCs w:val="25"/>
        </w:rPr>
        <w:t> </w:t>
      </w:r>
      <w:r w:rsidRPr="006D3B9D">
        <w:rPr>
          <w:sz w:val="25"/>
          <w:szCs w:val="25"/>
        </w:rPr>
        <w:t>000</w:t>
      </w:r>
      <w:r w:rsidR="00221679" w:rsidRPr="006D3B9D">
        <w:rPr>
          <w:sz w:val="25"/>
          <w:szCs w:val="25"/>
        </w:rPr>
        <w:t> </w:t>
      </w:r>
      <w:proofErr w:type="spellStart"/>
      <w:r w:rsidRPr="006D3B9D">
        <w:rPr>
          <w:sz w:val="25"/>
          <w:szCs w:val="25"/>
        </w:rPr>
        <w:t>дол</w:t>
      </w:r>
      <w:proofErr w:type="spellEnd"/>
      <w:r w:rsidRPr="006D3B9D">
        <w:rPr>
          <w:sz w:val="25"/>
          <w:szCs w:val="25"/>
        </w:rPr>
        <w:t>.</w:t>
      </w:r>
      <w:r w:rsidR="00221679" w:rsidRPr="006D3B9D">
        <w:rPr>
          <w:sz w:val="25"/>
          <w:szCs w:val="25"/>
        </w:rPr>
        <w:t> </w:t>
      </w:r>
      <w:r w:rsidRPr="006D3B9D">
        <w:rPr>
          <w:sz w:val="25"/>
          <w:szCs w:val="25"/>
        </w:rPr>
        <w:t>США).</w:t>
      </w:r>
    </w:p>
    <w:p w14:paraId="454A79D6" w14:textId="57D6B999"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Таким чином,</w:t>
      </w:r>
      <w:r w:rsidR="00095213" w:rsidRPr="006D3B9D">
        <w:rPr>
          <w:sz w:val="25"/>
          <w:szCs w:val="25"/>
        </w:rPr>
        <w:t xml:space="preserve"> за</w:t>
      </w:r>
      <w:r w:rsidRPr="006D3B9D">
        <w:rPr>
          <w:sz w:val="25"/>
          <w:szCs w:val="25"/>
        </w:rPr>
        <w:t xml:space="preserve"> чотири роки використання ринкова вартість ТЗ зменшилася орієнтовно на 30%, що відповідає об’єктивним ринковим умовам. Тому</w:t>
      </w:r>
      <w:r w:rsidR="00095213" w:rsidRPr="006D3B9D">
        <w:rPr>
          <w:sz w:val="25"/>
          <w:szCs w:val="25"/>
        </w:rPr>
        <w:t>,</w:t>
      </w:r>
      <w:r w:rsidRPr="006D3B9D">
        <w:rPr>
          <w:sz w:val="25"/>
          <w:szCs w:val="25"/>
        </w:rPr>
        <w:t xml:space="preserve"> на думку </w:t>
      </w:r>
      <w:r w:rsidRPr="006D3B9D">
        <w:rPr>
          <w:sz w:val="25"/>
          <w:szCs w:val="25"/>
        </w:rPr>
        <w:lastRenderedPageBreak/>
        <w:t>кандидатки</w:t>
      </w:r>
      <w:r w:rsidR="00095213" w:rsidRPr="006D3B9D">
        <w:rPr>
          <w:sz w:val="25"/>
          <w:szCs w:val="25"/>
        </w:rPr>
        <w:t>,</w:t>
      </w:r>
      <w:r w:rsidRPr="006D3B9D">
        <w:rPr>
          <w:sz w:val="25"/>
          <w:szCs w:val="25"/>
        </w:rPr>
        <w:t xml:space="preserve"> не видається логічним, що при первинному придбанні ТЗ його вартість становила 2</w:t>
      </w:r>
      <w:r w:rsidR="009F0CA8" w:rsidRPr="006D3B9D">
        <w:rPr>
          <w:sz w:val="25"/>
          <w:szCs w:val="25"/>
        </w:rPr>
        <w:t> </w:t>
      </w:r>
      <w:r w:rsidRPr="006D3B9D">
        <w:rPr>
          <w:sz w:val="25"/>
          <w:szCs w:val="25"/>
        </w:rPr>
        <w:t xml:space="preserve">150, 00 </w:t>
      </w:r>
      <w:proofErr w:type="spellStart"/>
      <w:r w:rsidRPr="006D3B9D">
        <w:rPr>
          <w:sz w:val="25"/>
          <w:szCs w:val="25"/>
        </w:rPr>
        <w:t>дол</w:t>
      </w:r>
      <w:proofErr w:type="spellEnd"/>
      <w:r w:rsidRPr="006D3B9D">
        <w:rPr>
          <w:sz w:val="25"/>
          <w:szCs w:val="25"/>
        </w:rPr>
        <w:t xml:space="preserve">. США, а після </w:t>
      </w:r>
      <w:r w:rsidR="001C0977" w:rsidRPr="006D3B9D">
        <w:rPr>
          <w:sz w:val="25"/>
          <w:szCs w:val="25"/>
        </w:rPr>
        <w:t>чотирьох</w:t>
      </w:r>
      <w:r w:rsidRPr="006D3B9D">
        <w:rPr>
          <w:sz w:val="25"/>
          <w:szCs w:val="25"/>
        </w:rPr>
        <w:t xml:space="preserve"> років використання – 3</w:t>
      </w:r>
      <w:r w:rsidR="009F0CA8" w:rsidRPr="006D3B9D">
        <w:rPr>
          <w:sz w:val="25"/>
          <w:szCs w:val="25"/>
        </w:rPr>
        <w:t> </w:t>
      </w:r>
      <w:r w:rsidRPr="006D3B9D">
        <w:rPr>
          <w:sz w:val="25"/>
          <w:szCs w:val="25"/>
        </w:rPr>
        <w:t xml:space="preserve">000, 00 </w:t>
      </w:r>
      <w:proofErr w:type="spellStart"/>
      <w:r w:rsidRPr="006D3B9D">
        <w:rPr>
          <w:sz w:val="25"/>
          <w:szCs w:val="25"/>
        </w:rPr>
        <w:t>дол</w:t>
      </w:r>
      <w:proofErr w:type="spellEnd"/>
      <w:r w:rsidR="009F0CA8" w:rsidRPr="006D3B9D">
        <w:rPr>
          <w:sz w:val="25"/>
          <w:szCs w:val="25"/>
        </w:rPr>
        <w:t>.</w:t>
      </w:r>
      <w:r w:rsidRPr="006D3B9D">
        <w:rPr>
          <w:sz w:val="25"/>
          <w:szCs w:val="25"/>
        </w:rPr>
        <w:t xml:space="preserve"> США.</w:t>
      </w:r>
    </w:p>
    <w:p w14:paraId="033B8CE0" w14:textId="291C9251"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 переконання кандидатки її син був упевнений, що піж час державної реєстрації права власності на придбаний ним ТЗ буде зазначен</w:t>
      </w:r>
      <w:r w:rsidR="001C0977" w:rsidRPr="006D3B9D">
        <w:rPr>
          <w:sz w:val="25"/>
          <w:szCs w:val="25"/>
        </w:rPr>
        <w:t>о</w:t>
      </w:r>
      <w:r w:rsidRPr="006D3B9D">
        <w:rPr>
          <w:sz w:val="25"/>
          <w:szCs w:val="25"/>
        </w:rPr>
        <w:t xml:space="preserve"> саме фактично сплачен</w:t>
      </w:r>
      <w:r w:rsidR="001C0977" w:rsidRPr="006D3B9D">
        <w:rPr>
          <w:sz w:val="25"/>
          <w:szCs w:val="25"/>
        </w:rPr>
        <w:t>у</w:t>
      </w:r>
      <w:r w:rsidRPr="006D3B9D">
        <w:rPr>
          <w:sz w:val="25"/>
          <w:szCs w:val="25"/>
        </w:rPr>
        <w:t xml:space="preserve"> сум</w:t>
      </w:r>
      <w:r w:rsidR="001C0977" w:rsidRPr="006D3B9D">
        <w:rPr>
          <w:sz w:val="25"/>
          <w:szCs w:val="25"/>
        </w:rPr>
        <w:t>у</w:t>
      </w:r>
      <w:r w:rsidRPr="006D3B9D">
        <w:rPr>
          <w:sz w:val="25"/>
          <w:szCs w:val="25"/>
        </w:rPr>
        <w:t xml:space="preserve"> – 127</w:t>
      </w:r>
      <w:r w:rsidR="00AA4FC5" w:rsidRPr="006D3B9D">
        <w:rPr>
          <w:sz w:val="25"/>
          <w:szCs w:val="25"/>
        </w:rPr>
        <w:t> </w:t>
      </w:r>
      <w:r w:rsidRPr="006D3B9D">
        <w:rPr>
          <w:sz w:val="25"/>
          <w:szCs w:val="25"/>
        </w:rPr>
        <w:t>071 грн, і не мав підстав сумніватися в достовірності даних, внесених до ЄДРТЗ. Про указану невідповідність стало відомо лише після проведення спеціальної перевірки.</w:t>
      </w:r>
    </w:p>
    <w:p w14:paraId="1A440C33" w14:textId="36FACF16"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Кандидат як суб’єкт декларування, внесла до декларації саме ту суму, про яку їй повідомив власник ТЗ, на підтвердження чого надав Акт виконаних робіт (послуг) №</w:t>
      </w:r>
      <w:r w:rsidR="00221679" w:rsidRPr="006D3B9D">
        <w:rPr>
          <w:sz w:val="25"/>
          <w:szCs w:val="25"/>
        </w:rPr>
        <w:t> </w:t>
      </w:r>
      <w:r w:rsidRPr="006D3B9D">
        <w:rPr>
          <w:sz w:val="25"/>
          <w:szCs w:val="25"/>
        </w:rPr>
        <w:t>Пан0-00982 від 11</w:t>
      </w:r>
      <w:r w:rsidR="00AA4FC5" w:rsidRPr="006D3B9D">
        <w:rPr>
          <w:sz w:val="25"/>
          <w:szCs w:val="25"/>
        </w:rPr>
        <w:t xml:space="preserve"> травня </w:t>
      </w:r>
      <w:r w:rsidRPr="006D3B9D">
        <w:rPr>
          <w:sz w:val="25"/>
          <w:szCs w:val="25"/>
        </w:rPr>
        <w:t>2021</w:t>
      </w:r>
      <w:r w:rsidR="00AA4FC5" w:rsidRPr="006D3B9D">
        <w:rPr>
          <w:sz w:val="25"/>
          <w:szCs w:val="25"/>
        </w:rPr>
        <w:t xml:space="preserve"> року</w:t>
      </w:r>
      <w:r w:rsidRPr="006D3B9D">
        <w:rPr>
          <w:sz w:val="25"/>
          <w:szCs w:val="25"/>
        </w:rPr>
        <w:t>.</w:t>
      </w:r>
    </w:p>
    <w:p w14:paraId="0974318F" w14:textId="184D879E" w:rsidR="00AA4FC5" w:rsidRPr="006D3B9D" w:rsidRDefault="009F0CA8"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Кандидатка зазначила, що</w:t>
      </w:r>
      <w:r w:rsidR="00EB5CB3" w:rsidRPr="006D3B9D">
        <w:rPr>
          <w:sz w:val="25"/>
          <w:szCs w:val="25"/>
        </w:rPr>
        <w:t xml:space="preserve"> виправити ці розбіжності у вже поданій декларації неможливо</w:t>
      </w:r>
      <w:r w:rsidR="001C0977" w:rsidRPr="006D3B9D">
        <w:rPr>
          <w:sz w:val="25"/>
          <w:szCs w:val="25"/>
        </w:rPr>
        <w:t xml:space="preserve"> у</w:t>
      </w:r>
      <w:r w:rsidR="00EB5CB3" w:rsidRPr="006D3B9D">
        <w:rPr>
          <w:sz w:val="25"/>
          <w:szCs w:val="25"/>
        </w:rPr>
        <w:t xml:space="preserve"> зв’язку зі </w:t>
      </w:r>
      <w:proofErr w:type="spellStart"/>
      <w:r w:rsidR="00EB5CB3" w:rsidRPr="006D3B9D">
        <w:rPr>
          <w:sz w:val="25"/>
          <w:szCs w:val="25"/>
        </w:rPr>
        <w:t>спливом</w:t>
      </w:r>
      <w:proofErr w:type="spellEnd"/>
      <w:r w:rsidR="00EB5CB3" w:rsidRPr="006D3B9D">
        <w:rPr>
          <w:sz w:val="25"/>
          <w:szCs w:val="25"/>
        </w:rPr>
        <w:t xml:space="preserve"> 30-денного строку для подання виправленої декларації. Однак кандидат запевнила, що під час подання наступної декларації ці обставини буд</w:t>
      </w:r>
      <w:r w:rsidR="001C0977" w:rsidRPr="006D3B9D">
        <w:rPr>
          <w:sz w:val="25"/>
          <w:szCs w:val="25"/>
        </w:rPr>
        <w:t>е</w:t>
      </w:r>
      <w:r w:rsidR="00EB5CB3" w:rsidRPr="006D3B9D">
        <w:rPr>
          <w:sz w:val="25"/>
          <w:szCs w:val="25"/>
        </w:rPr>
        <w:t xml:space="preserve"> врахован</w:t>
      </w:r>
      <w:r w:rsidR="001C0977" w:rsidRPr="006D3B9D">
        <w:rPr>
          <w:sz w:val="25"/>
          <w:szCs w:val="25"/>
        </w:rPr>
        <w:t>о</w:t>
      </w:r>
      <w:r w:rsidR="00EB5CB3" w:rsidRPr="006D3B9D">
        <w:rPr>
          <w:sz w:val="25"/>
          <w:szCs w:val="25"/>
        </w:rPr>
        <w:t xml:space="preserve"> і вартість мотоцикла буде задекларован</w:t>
      </w:r>
      <w:r w:rsidR="001C0977" w:rsidRPr="006D3B9D">
        <w:rPr>
          <w:sz w:val="25"/>
          <w:szCs w:val="25"/>
        </w:rPr>
        <w:t>о</w:t>
      </w:r>
      <w:r w:rsidR="00EB5CB3" w:rsidRPr="006D3B9D">
        <w:rPr>
          <w:sz w:val="25"/>
          <w:szCs w:val="25"/>
        </w:rPr>
        <w:t xml:space="preserve"> згідно</w:t>
      </w:r>
      <w:r w:rsidR="001C0977" w:rsidRPr="006D3B9D">
        <w:rPr>
          <w:sz w:val="25"/>
          <w:szCs w:val="25"/>
        </w:rPr>
        <w:t xml:space="preserve"> з</w:t>
      </w:r>
      <w:r w:rsidR="00EB5CB3" w:rsidRPr="006D3B9D">
        <w:rPr>
          <w:sz w:val="25"/>
          <w:szCs w:val="25"/>
        </w:rPr>
        <w:t xml:space="preserve"> його дійсною ринковою вартістю на дату подання. Також буде на</w:t>
      </w:r>
      <w:r w:rsidR="001C0977" w:rsidRPr="006D3B9D">
        <w:rPr>
          <w:sz w:val="25"/>
          <w:szCs w:val="25"/>
        </w:rPr>
        <w:t>діслано</w:t>
      </w:r>
      <w:r w:rsidR="00EB5CB3" w:rsidRPr="006D3B9D">
        <w:rPr>
          <w:sz w:val="25"/>
          <w:szCs w:val="25"/>
        </w:rPr>
        <w:t xml:space="preserve"> повідомлення через персональний електронний кабінет до Національного агентства з описом ситуації, що виникла, для її урахування в разі проведення повної перевірки декларації.</w:t>
      </w:r>
    </w:p>
    <w:p w14:paraId="2ADDEC9C" w14:textId="5ED0C3EC"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результатах спеціальної перевірки</w:t>
      </w:r>
      <w:r w:rsidR="001C0977" w:rsidRPr="006D3B9D">
        <w:rPr>
          <w:sz w:val="25"/>
          <w:szCs w:val="25"/>
        </w:rPr>
        <w:t xml:space="preserve"> декларації</w:t>
      </w:r>
      <w:r w:rsidRPr="006D3B9D">
        <w:rPr>
          <w:sz w:val="25"/>
          <w:szCs w:val="25"/>
        </w:rPr>
        <w:t xml:space="preserve"> за 2024 рік зазначено розбіжності в розділі 11 декларації «Доходи, у тому числі подарунки», </w:t>
      </w:r>
      <w:r w:rsidR="001C0977" w:rsidRPr="006D3B9D">
        <w:rPr>
          <w:sz w:val="25"/>
          <w:szCs w:val="25"/>
        </w:rPr>
        <w:t>згідно з яким</w:t>
      </w:r>
      <w:r w:rsidRPr="006D3B9D">
        <w:rPr>
          <w:sz w:val="25"/>
          <w:szCs w:val="25"/>
        </w:rPr>
        <w:t xml:space="preserve"> кандидат</w:t>
      </w:r>
      <w:r w:rsidR="001C0977" w:rsidRPr="006D3B9D">
        <w:rPr>
          <w:sz w:val="25"/>
          <w:szCs w:val="25"/>
        </w:rPr>
        <w:t>ка</w:t>
      </w:r>
      <w:r w:rsidRPr="006D3B9D">
        <w:rPr>
          <w:sz w:val="25"/>
          <w:szCs w:val="25"/>
        </w:rPr>
        <w:t xml:space="preserve"> вказала відомості про власний дохід у розмірі 950</w:t>
      </w:r>
      <w:r w:rsidR="00AA4FC5" w:rsidRPr="006D3B9D">
        <w:rPr>
          <w:sz w:val="25"/>
          <w:szCs w:val="25"/>
        </w:rPr>
        <w:t> </w:t>
      </w:r>
      <w:r w:rsidRPr="006D3B9D">
        <w:rPr>
          <w:sz w:val="25"/>
          <w:szCs w:val="25"/>
        </w:rPr>
        <w:t>000 грн, інформація про який відсутня у відомостях ДРФО.</w:t>
      </w:r>
    </w:p>
    <w:p w14:paraId="1FBE7ED9" w14:textId="5707948E"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розбіжностей у розділі 11 «Доходи, у тому числі подарунки» декларації кандидат пояснила таке. Декларація платника податків, </w:t>
      </w:r>
      <w:r w:rsidR="001C0977" w:rsidRPr="006D3B9D">
        <w:rPr>
          <w:sz w:val="25"/>
          <w:szCs w:val="25"/>
        </w:rPr>
        <w:t>у</w:t>
      </w:r>
      <w:r w:rsidRPr="006D3B9D">
        <w:rPr>
          <w:sz w:val="25"/>
          <w:szCs w:val="25"/>
        </w:rPr>
        <w:t xml:space="preserve"> якій було зазначено про власний дохід кандидатки від зайняття підприємницькою діяльністю </w:t>
      </w:r>
      <w:r w:rsidR="001C0977" w:rsidRPr="006D3B9D">
        <w:rPr>
          <w:sz w:val="25"/>
          <w:szCs w:val="25"/>
        </w:rPr>
        <w:t>в</w:t>
      </w:r>
      <w:r w:rsidRPr="006D3B9D">
        <w:rPr>
          <w:sz w:val="25"/>
          <w:szCs w:val="25"/>
        </w:rPr>
        <w:t xml:space="preserve"> розмірі 950</w:t>
      </w:r>
      <w:r w:rsidR="00AA4FC5" w:rsidRPr="006D3B9D">
        <w:rPr>
          <w:sz w:val="25"/>
          <w:szCs w:val="25"/>
        </w:rPr>
        <w:t> </w:t>
      </w:r>
      <w:r w:rsidRPr="006D3B9D">
        <w:rPr>
          <w:sz w:val="25"/>
          <w:szCs w:val="25"/>
        </w:rPr>
        <w:t>000</w:t>
      </w:r>
      <w:r w:rsidR="00AA4FC5" w:rsidRPr="006D3B9D">
        <w:rPr>
          <w:sz w:val="25"/>
          <w:szCs w:val="25"/>
        </w:rPr>
        <w:t> </w:t>
      </w:r>
      <w:r w:rsidRPr="006D3B9D">
        <w:rPr>
          <w:sz w:val="25"/>
          <w:szCs w:val="25"/>
        </w:rPr>
        <w:t>грн, подан</w:t>
      </w:r>
      <w:r w:rsidR="001C0977" w:rsidRPr="006D3B9D">
        <w:rPr>
          <w:sz w:val="25"/>
          <w:szCs w:val="25"/>
        </w:rPr>
        <w:t>о</w:t>
      </w:r>
      <w:r w:rsidRPr="006D3B9D">
        <w:rPr>
          <w:sz w:val="25"/>
          <w:szCs w:val="25"/>
        </w:rPr>
        <w:t xml:space="preserve"> до податкового органу 03</w:t>
      </w:r>
      <w:r w:rsidR="00AA4FC5" w:rsidRPr="006D3B9D">
        <w:rPr>
          <w:sz w:val="25"/>
          <w:szCs w:val="25"/>
        </w:rPr>
        <w:t xml:space="preserve"> червня </w:t>
      </w:r>
      <w:r w:rsidRPr="006D3B9D">
        <w:rPr>
          <w:sz w:val="25"/>
          <w:szCs w:val="25"/>
        </w:rPr>
        <w:t>2025</w:t>
      </w:r>
      <w:r w:rsidR="00AA4FC5" w:rsidRPr="006D3B9D">
        <w:rPr>
          <w:sz w:val="25"/>
          <w:szCs w:val="25"/>
        </w:rPr>
        <w:t xml:space="preserve"> року</w:t>
      </w:r>
      <w:r w:rsidRPr="006D3B9D">
        <w:rPr>
          <w:sz w:val="25"/>
          <w:szCs w:val="25"/>
        </w:rPr>
        <w:t>, тоді як перевірка з використанням бази ДРФО, ймовірно, проводилася до подання цієї декларації. Податки з вказаного доходу бул</w:t>
      </w:r>
      <w:r w:rsidR="001C0977" w:rsidRPr="006D3B9D">
        <w:rPr>
          <w:sz w:val="25"/>
          <w:szCs w:val="25"/>
        </w:rPr>
        <w:t>о</w:t>
      </w:r>
      <w:r w:rsidRPr="006D3B9D">
        <w:rPr>
          <w:sz w:val="25"/>
          <w:szCs w:val="25"/>
        </w:rPr>
        <w:t xml:space="preserve"> сплачен</w:t>
      </w:r>
      <w:r w:rsidR="001C0977" w:rsidRPr="006D3B9D">
        <w:rPr>
          <w:sz w:val="25"/>
          <w:szCs w:val="25"/>
        </w:rPr>
        <w:t>о</w:t>
      </w:r>
      <w:r w:rsidRPr="006D3B9D">
        <w:rPr>
          <w:sz w:val="25"/>
          <w:szCs w:val="25"/>
        </w:rPr>
        <w:t xml:space="preserve"> </w:t>
      </w:r>
      <w:r w:rsidR="001C0977" w:rsidRPr="006D3B9D">
        <w:rPr>
          <w:sz w:val="25"/>
          <w:szCs w:val="25"/>
        </w:rPr>
        <w:t>в</w:t>
      </w:r>
      <w:r w:rsidRPr="006D3B9D">
        <w:rPr>
          <w:sz w:val="25"/>
          <w:szCs w:val="25"/>
        </w:rPr>
        <w:t xml:space="preserve"> повному обсязі, що </w:t>
      </w:r>
      <w:r w:rsidR="001C0977" w:rsidRPr="006D3B9D">
        <w:rPr>
          <w:sz w:val="25"/>
          <w:szCs w:val="25"/>
        </w:rPr>
        <w:t>вр</w:t>
      </w:r>
      <w:r w:rsidRPr="006D3B9D">
        <w:rPr>
          <w:sz w:val="25"/>
          <w:szCs w:val="25"/>
        </w:rPr>
        <w:t>аховано під час прийняття податковим органом декларації.</w:t>
      </w:r>
    </w:p>
    <w:p w14:paraId="7A633F7E" w14:textId="6249C521" w:rsidR="00AA4FC5" w:rsidRPr="006D3B9D" w:rsidRDefault="00EB5CB3"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На думку кандидатки, розбіжності, встановлені під час проведення спеціальної перевірки щодо достовірності відомостей, зазначених особою </w:t>
      </w:r>
      <w:r w:rsidR="001C0977" w:rsidRPr="006D3B9D">
        <w:rPr>
          <w:sz w:val="25"/>
          <w:szCs w:val="25"/>
        </w:rPr>
        <w:t>в</w:t>
      </w:r>
      <w:r w:rsidRPr="006D3B9D">
        <w:rPr>
          <w:sz w:val="25"/>
          <w:szCs w:val="25"/>
        </w:rPr>
        <w:t xml:space="preserve"> декларації за 2024 рік, пояснюються об’єктивними причинами, не пов’язаними з умисним приховуванням інформації чи наданням недостовірних відомостей.</w:t>
      </w:r>
    </w:p>
    <w:p w14:paraId="5E34AAD0" w14:textId="588E5726" w:rsidR="00B3626F" w:rsidRPr="006D3B9D" w:rsidRDefault="00B3626F" w:rsidP="00AA4FC5">
      <w:pPr>
        <w:pStyle w:val="a9"/>
        <w:numPr>
          <w:ilvl w:val="0"/>
          <w:numId w:val="8"/>
        </w:numPr>
        <w:shd w:val="clear" w:color="auto" w:fill="FFFFFF"/>
        <w:tabs>
          <w:tab w:val="left" w:pos="426"/>
        </w:tabs>
        <w:spacing w:after="200" w:line="276" w:lineRule="auto"/>
        <w:ind w:left="0" w:firstLine="709"/>
        <w:jc w:val="both"/>
        <w:rPr>
          <w:sz w:val="25"/>
          <w:szCs w:val="25"/>
        </w:rPr>
      </w:pPr>
      <w:r w:rsidRPr="006D3B9D">
        <w:rPr>
          <w:color w:val="000000"/>
          <w:sz w:val="25"/>
          <w:szCs w:val="25"/>
          <w:lang w:eastAsia="uk-UA"/>
        </w:rPr>
        <w:t>На переконання Комісії, під час проведення спеціальної перевірки не отримано інформації, яка беззастережно свідчит</w:t>
      </w:r>
      <w:r w:rsidR="001C0977" w:rsidRPr="006D3B9D">
        <w:rPr>
          <w:color w:val="000000"/>
          <w:sz w:val="25"/>
          <w:szCs w:val="25"/>
          <w:lang w:eastAsia="uk-UA"/>
        </w:rPr>
        <w:t>ь</w:t>
      </w:r>
      <w:r w:rsidRPr="006D3B9D">
        <w:rPr>
          <w:color w:val="000000"/>
          <w:sz w:val="25"/>
          <w:szCs w:val="25"/>
          <w:lang w:eastAsia="uk-UA"/>
        </w:rPr>
        <w:t xml:space="preserve"> про невідповідність</w:t>
      </w:r>
      <w:r w:rsidR="001C0977" w:rsidRPr="006D3B9D">
        <w:rPr>
          <w:color w:val="000000"/>
          <w:sz w:val="25"/>
          <w:szCs w:val="25"/>
          <w:lang w:eastAsia="uk-UA"/>
        </w:rPr>
        <w:t xml:space="preserve"> </w:t>
      </w:r>
      <w:proofErr w:type="spellStart"/>
      <w:r w:rsidR="001C0977" w:rsidRPr="006D3B9D">
        <w:rPr>
          <w:color w:val="000000"/>
          <w:sz w:val="25"/>
          <w:szCs w:val="25"/>
          <w:lang w:eastAsia="uk-UA"/>
        </w:rPr>
        <w:t>Косогор</w:t>
      </w:r>
      <w:proofErr w:type="spellEnd"/>
      <w:r w:rsidR="001C0977" w:rsidRPr="006D3B9D">
        <w:rPr>
          <w:color w:val="000000"/>
          <w:sz w:val="25"/>
          <w:szCs w:val="25"/>
          <w:lang w:eastAsia="uk-UA"/>
        </w:rPr>
        <w:t xml:space="preserve"> О.М.</w:t>
      </w:r>
      <w:r w:rsidRPr="006D3B9D">
        <w:rPr>
          <w:color w:val="000000"/>
          <w:sz w:val="25"/>
          <w:szCs w:val="25"/>
          <w:lang w:eastAsia="uk-UA"/>
        </w:rPr>
        <w:t xml:space="preserve"> вимогам до кандидата на посаду судді. П</w:t>
      </w:r>
      <w:r w:rsidR="001C0977" w:rsidRPr="006D3B9D">
        <w:rPr>
          <w:color w:val="000000"/>
          <w:sz w:val="25"/>
          <w:szCs w:val="25"/>
          <w:lang w:eastAsia="uk-UA"/>
        </w:rPr>
        <w:t>роте</w:t>
      </w:r>
      <w:r w:rsidRPr="006D3B9D">
        <w:rPr>
          <w:color w:val="000000"/>
          <w:sz w:val="25"/>
          <w:szCs w:val="25"/>
          <w:lang w:eastAsia="uk-UA"/>
        </w:rPr>
        <w:t xml:space="preserve"> результати спеціальної перевірки враховуються Комісією при встановленні відповідності кандидата </w:t>
      </w:r>
      <w:r w:rsidRPr="006D3B9D">
        <w:rPr>
          <w:sz w:val="25"/>
          <w:szCs w:val="25"/>
        </w:rPr>
        <w:t>критеріям професійної етики та доброчесності</w:t>
      </w:r>
      <w:r w:rsidR="009E1413" w:rsidRPr="006D3B9D">
        <w:rPr>
          <w:sz w:val="25"/>
          <w:szCs w:val="25"/>
        </w:rPr>
        <w:t>.</w:t>
      </w:r>
    </w:p>
    <w:p w14:paraId="171E2952" w14:textId="7B23E436" w:rsidR="009E1413" w:rsidRPr="006D3B9D" w:rsidRDefault="009E1413" w:rsidP="00CF670E">
      <w:pPr>
        <w:shd w:val="clear" w:color="auto" w:fill="FFFFFF"/>
        <w:tabs>
          <w:tab w:val="left" w:pos="426"/>
        </w:tabs>
        <w:spacing w:after="200"/>
        <w:jc w:val="both"/>
        <w:rPr>
          <w:color w:val="000000"/>
          <w:sz w:val="25"/>
          <w:szCs w:val="25"/>
          <w:highlight w:val="yellow"/>
          <w:lang w:eastAsia="uk-UA"/>
        </w:rPr>
      </w:pPr>
    </w:p>
    <w:p w14:paraId="1CABFA27" w14:textId="3DCA5604" w:rsidR="006C6FD4" w:rsidRPr="006D3B9D" w:rsidRDefault="00A90549" w:rsidP="00B43121">
      <w:pPr>
        <w:jc w:val="both"/>
        <w:rPr>
          <w:b/>
          <w:sz w:val="25"/>
          <w:szCs w:val="25"/>
        </w:rPr>
      </w:pPr>
      <w:r w:rsidRPr="006D3B9D">
        <w:rPr>
          <w:b/>
          <w:sz w:val="25"/>
          <w:szCs w:val="25"/>
        </w:rPr>
        <w:t>V</w:t>
      </w:r>
      <w:r w:rsidR="00B43121" w:rsidRPr="006D3B9D">
        <w:rPr>
          <w:b/>
          <w:sz w:val="25"/>
          <w:szCs w:val="25"/>
        </w:rPr>
        <w:t xml:space="preserve">. </w:t>
      </w:r>
      <w:r w:rsidRPr="006D3B9D">
        <w:rPr>
          <w:b/>
          <w:sz w:val="25"/>
          <w:szCs w:val="25"/>
        </w:rPr>
        <w:t xml:space="preserve">Дослідження досьє </w:t>
      </w:r>
      <w:r w:rsidR="006C6FD4" w:rsidRPr="006D3B9D">
        <w:rPr>
          <w:b/>
          <w:sz w:val="25"/>
          <w:szCs w:val="25"/>
        </w:rPr>
        <w:t>та проведення співбесіди (в</w:t>
      </w:r>
      <w:r w:rsidR="00B43121" w:rsidRPr="006D3B9D">
        <w:rPr>
          <w:b/>
          <w:sz w:val="25"/>
          <w:szCs w:val="25"/>
        </w:rPr>
        <w:t>становлення відповідності кандидата критері</w:t>
      </w:r>
      <w:r w:rsidRPr="006D3B9D">
        <w:rPr>
          <w:b/>
          <w:sz w:val="25"/>
          <w:szCs w:val="25"/>
        </w:rPr>
        <w:t>ям</w:t>
      </w:r>
      <w:r w:rsidR="00B43121" w:rsidRPr="006D3B9D">
        <w:rPr>
          <w:b/>
          <w:sz w:val="25"/>
          <w:szCs w:val="25"/>
        </w:rPr>
        <w:t xml:space="preserve"> </w:t>
      </w:r>
      <w:r w:rsidRPr="006D3B9D">
        <w:rPr>
          <w:b/>
          <w:sz w:val="25"/>
          <w:szCs w:val="25"/>
        </w:rPr>
        <w:t>особистої та соціальної</w:t>
      </w:r>
      <w:r w:rsidR="00B43121" w:rsidRPr="006D3B9D">
        <w:rPr>
          <w:b/>
          <w:sz w:val="25"/>
          <w:szCs w:val="25"/>
        </w:rPr>
        <w:t xml:space="preserve"> компетентн</w:t>
      </w:r>
      <w:r w:rsidRPr="006D3B9D">
        <w:rPr>
          <w:b/>
          <w:sz w:val="25"/>
          <w:szCs w:val="25"/>
        </w:rPr>
        <w:t>ості, а також критері</w:t>
      </w:r>
      <w:r w:rsidR="001C0977" w:rsidRPr="006D3B9D">
        <w:rPr>
          <w:b/>
          <w:sz w:val="25"/>
          <w:szCs w:val="25"/>
        </w:rPr>
        <w:t>ям</w:t>
      </w:r>
      <w:r w:rsidRPr="006D3B9D">
        <w:rPr>
          <w:b/>
          <w:sz w:val="25"/>
          <w:szCs w:val="25"/>
        </w:rPr>
        <w:t xml:space="preserve"> професійної етики та доброчесності</w:t>
      </w:r>
      <w:r w:rsidR="006C6FD4" w:rsidRPr="006D3B9D">
        <w:rPr>
          <w:b/>
          <w:sz w:val="25"/>
          <w:szCs w:val="25"/>
        </w:rPr>
        <w:t>)</w:t>
      </w:r>
      <w:r w:rsidRPr="006D3B9D">
        <w:rPr>
          <w:b/>
          <w:sz w:val="25"/>
          <w:szCs w:val="25"/>
        </w:rPr>
        <w:t>.</w:t>
      </w:r>
    </w:p>
    <w:p w14:paraId="4770F956" w14:textId="541A3707" w:rsidR="006C6FD4" w:rsidRPr="006D3B9D" w:rsidRDefault="006C6FD4" w:rsidP="00B43121">
      <w:pPr>
        <w:jc w:val="both"/>
        <w:rPr>
          <w:sz w:val="25"/>
          <w:szCs w:val="25"/>
        </w:rPr>
      </w:pPr>
      <w:r w:rsidRPr="006D3B9D">
        <w:rPr>
          <w:sz w:val="25"/>
          <w:szCs w:val="25"/>
        </w:rPr>
        <w:tab/>
      </w:r>
    </w:p>
    <w:p w14:paraId="6C0B5FDB" w14:textId="531AAD37" w:rsidR="006C6FD4" w:rsidRPr="006D3B9D" w:rsidRDefault="006C6FD4" w:rsidP="006C6FD4">
      <w:pPr>
        <w:jc w:val="both"/>
        <w:rPr>
          <w:b/>
          <w:sz w:val="25"/>
          <w:szCs w:val="25"/>
        </w:rPr>
      </w:pPr>
      <w:r w:rsidRPr="006D3B9D">
        <w:rPr>
          <w:b/>
          <w:sz w:val="25"/>
          <w:szCs w:val="25"/>
        </w:rPr>
        <w:t xml:space="preserve">V-І. Стислий опис проходження другого етапу кваліфікаційного оцінювання. </w:t>
      </w:r>
    </w:p>
    <w:p w14:paraId="228AE4AE" w14:textId="77777777" w:rsidR="006C6FD4" w:rsidRPr="006D3B9D" w:rsidRDefault="006C6FD4" w:rsidP="006C6FD4">
      <w:pPr>
        <w:jc w:val="both"/>
        <w:rPr>
          <w:sz w:val="25"/>
          <w:szCs w:val="25"/>
        </w:rPr>
      </w:pPr>
    </w:p>
    <w:p w14:paraId="27957B13" w14:textId="7763C5D1" w:rsidR="002E1512" w:rsidRPr="006D3B9D"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Згідно з р</w:t>
      </w:r>
      <w:r w:rsidR="006C6FD4" w:rsidRPr="006D3B9D">
        <w:rPr>
          <w:sz w:val="25"/>
          <w:szCs w:val="25"/>
        </w:rPr>
        <w:t>ішенням Комісії від 1</w:t>
      </w:r>
      <w:r w:rsidR="00044D8F" w:rsidRPr="006D3B9D">
        <w:rPr>
          <w:sz w:val="25"/>
          <w:szCs w:val="25"/>
        </w:rPr>
        <w:t>7</w:t>
      </w:r>
      <w:r w:rsidR="006C6FD4" w:rsidRPr="006D3B9D">
        <w:rPr>
          <w:sz w:val="25"/>
          <w:szCs w:val="25"/>
        </w:rPr>
        <w:t xml:space="preserve"> </w:t>
      </w:r>
      <w:r w:rsidR="00044D8F" w:rsidRPr="006D3B9D">
        <w:rPr>
          <w:sz w:val="25"/>
          <w:szCs w:val="25"/>
        </w:rPr>
        <w:t>квітня</w:t>
      </w:r>
      <w:r w:rsidR="006C6FD4" w:rsidRPr="006D3B9D">
        <w:rPr>
          <w:sz w:val="25"/>
          <w:szCs w:val="25"/>
        </w:rPr>
        <w:t xml:space="preserve"> 2025 року № </w:t>
      </w:r>
      <w:r w:rsidR="00044D8F" w:rsidRPr="006D3B9D">
        <w:rPr>
          <w:sz w:val="25"/>
          <w:szCs w:val="25"/>
        </w:rPr>
        <w:t>89</w:t>
      </w:r>
      <w:r w:rsidR="006C6FD4" w:rsidRPr="006D3B9D">
        <w:rPr>
          <w:sz w:val="25"/>
          <w:szCs w:val="25"/>
        </w:rPr>
        <w:t>/зп-25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1C0977" w:rsidRPr="006D3B9D">
        <w:rPr>
          <w:sz w:val="25"/>
          <w:szCs w:val="25"/>
        </w:rPr>
        <w:t> </w:t>
      </w:r>
      <w:r w:rsidR="006C6FD4" w:rsidRPr="006D3B9D">
        <w:rPr>
          <w:sz w:val="25"/>
          <w:szCs w:val="25"/>
        </w:rPr>
        <w:t xml:space="preserve">змінами), </w:t>
      </w:r>
      <w:r w:rsidRPr="006D3B9D">
        <w:rPr>
          <w:sz w:val="25"/>
          <w:szCs w:val="25"/>
        </w:rPr>
        <w:t xml:space="preserve">допущено </w:t>
      </w:r>
      <w:r w:rsidR="002E1512" w:rsidRPr="006D3B9D">
        <w:rPr>
          <w:sz w:val="25"/>
          <w:szCs w:val="25"/>
        </w:rPr>
        <w:t>706</w:t>
      </w:r>
      <w:r w:rsidRPr="006D3B9D">
        <w:rPr>
          <w:sz w:val="25"/>
          <w:szCs w:val="25"/>
        </w:rPr>
        <w:t xml:space="preserve"> кандидатів на посади суддів апеляційних </w:t>
      </w:r>
      <w:r w:rsidR="002E1512" w:rsidRPr="006D3B9D">
        <w:rPr>
          <w:sz w:val="25"/>
          <w:szCs w:val="25"/>
        </w:rPr>
        <w:t xml:space="preserve">загальних </w:t>
      </w:r>
      <w:r w:rsidRPr="006D3B9D">
        <w:rPr>
          <w:sz w:val="25"/>
          <w:szCs w:val="25"/>
        </w:rPr>
        <w:t xml:space="preserve">судів, які успішно склали кваліфікаційний іспит, </w:t>
      </w:r>
      <w:r w:rsidR="006C6FD4" w:rsidRPr="006D3B9D">
        <w:rPr>
          <w:sz w:val="25"/>
          <w:szCs w:val="25"/>
        </w:rPr>
        <w:t xml:space="preserve">зокрема </w:t>
      </w:r>
      <w:proofErr w:type="spellStart"/>
      <w:r w:rsidR="00D123D9" w:rsidRPr="006D3B9D">
        <w:rPr>
          <w:sz w:val="25"/>
          <w:szCs w:val="25"/>
        </w:rPr>
        <w:t>Косогор</w:t>
      </w:r>
      <w:proofErr w:type="spellEnd"/>
      <w:r w:rsidR="00D123D9" w:rsidRPr="006D3B9D">
        <w:rPr>
          <w:sz w:val="25"/>
          <w:szCs w:val="25"/>
        </w:rPr>
        <w:t xml:space="preserve"> О</w:t>
      </w:r>
      <w:r w:rsidR="001C0977" w:rsidRPr="006D3B9D">
        <w:rPr>
          <w:sz w:val="25"/>
          <w:szCs w:val="25"/>
        </w:rPr>
        <w:t>.М</w:t>
      </w:r>
      <w:r w:rsidR="00D123D9" w:rsidRPr="006D3B9D">
        <w:rPr>
          <w:sz w:val="25"/>
          <w:szCs w:val="25"/>
        </w:rPr>
        <w:t>.</w:t>
      </w:r>
    </w:p>
    <w:p w14:paraId="6A31AD25" w14:textId="515EF6F9" w:rsidR="006C6FD4" w:rsidRPr="006D3B9D" w:rsidRDefault="00044D8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Р</w:t>
      </w:r>
      <w:r w:rsidR="006C6FD4" w:rsidRPr="006D3B9D">
        <w:rPr>
          <w:sz w:val="25"/>
          <w:szCs w:val="25"/>
        </w:rPr>
        <w:t xml:space="preserve">ішенням </w:t>
      </w:r>
      <w:r w:rsidRPr="006D3B9D">
        <w:rPr>
          <w:sz w:val="25"/>
          <w:szCs w:val="25"/>
        </w:rPr>
        <w:t xml:space="preserve">Комісії від 28 квітня 2025 року № 92/зп-25 </w:t>
      </w:r>
      <w:r w:rsidR="001C0977" w:rsidRPr="006D3B9D">
        <w:rPr>
          <w:sz w:val="25"/>
          <w:szCs w:val="25"/>
        </w:rPr>
        <w:t>в</w:t>
      </w:r>
      <w:r w:rsidR="006C6FD4" w:rsidRPr="006D3B9D">
        <w:rPr>
          <w:sz w:val="25"/>
          <w:szCs w:val="25"/>
        </w:rPr>
        <w:t>становлено, що другий етап «Дослідження досьє та проведення співбесіди» кваліфікаційного оцінювання</w:t>
      </w:r>
      <w:r w:rsidR="001324DA" w:rsidRPr="006D3B9D">
        <w:rPr>
          <w:sz w:val="25"/>
          <w:szCs w:val="25"/>
        </w:rPr>
        <w:t>, зокрема,</w:t>
      </w:r>
      <w:r w:rsidR="006C6FD4" w:rsidRPr="006D3B9D">
        <w:rPr>
          <w:sz w:val="25"/>
          <w:szCs w:val="25"/>
        </w:rPr>
        <w:t xml:space="preserve"> кандидатів на посади суддів </w:t>
      </w:r>
      <w:r w:rsidR="001324DA" w:rsidRPr="006D3B9D">
        <w:rPr>
          <w:sz w:val="25"/>
          <w:szCs w:val="25"/>
        </w:rPr>
        <w:t xml:space="preserve">Житомирського </w:t>
      </w:r>
      <w:r w:rsidR="006C6FD4" w:rsidRPr="006D3B9D">
        <w:rPr>
          <w:sz w:val="25"/>
          <w:szCs w:val="25"/>
        </w:rPr>
        <w:t>апеляційн</w:t>
      </w:r>
      <w:r w:rsidR="001324DA" w:rsidRPr="006D3B9D">
        <w:rPr>
          <w:sz w:val="25"/>
          <w:szCs w:val="25"/>
        </w:rPr>
        <w:t>ого</w:t>
      </w:r>
      <w:r w:rsidR="006C6FD4" w:rsidRPr="006D3B9D">
        <w:rPr>
          <w:sz w:val="25"/>
          <w:szCs w:val="25"/>
        </w:rPr>
        <w:t xml:space="preserve"> суд</w:t>
      </w:r>
      <w:r w:rsidR="001324DA" w:rsidRPr="006D3B9D">
        <w:rPr>
          <w:sz w:val="25"/>
          <w:szCs w:val="25"/>
        </w:rPr>
        <w:t>у</w:t>
      </w:r>
      <w:r w:rsidR="006C6FD4" w:rsidRPr="006D3B9D">
        <w:rPr>
          <w:sz w:val="25"/>
          <w:szCs w:val="25"/>
        </w:rPr>
        <w:t xml:space="preserve"> </w:t>
      </w:r>
      <w:r w:rsidR="001C0977" w:rsidRPr="006D3B9D">
        <w:rPr>
          <w:sz w:val="25"/>
          <w:szCs w:val="25"/>
        </w:rPr>
        <w:t>в</w:t>
      </w:r>
      <w:r w:rsidR="006C6FD4" w:rsidRPr="006D3B9D">
        <w:rPr>
          <w:sz w:val="25"/>
          <w:szCs w:val="25"/>
        </w:rPr>
        <w:t xml:space="preserve"> межах конкурсу, оголошеного рішенням Комісії від 14 вересня 2023 року № 94/зп-23 (зі змінами), проводиться </w:t>
      </w:r>
      <w:r w:rsidR="00AE617F" w:rsidRPr="006D3B9D">
        <w:rPr>
          <w:sz w:val="25"/>
          <w:szCs w:val="25"/>
        </w:rPr>
        <w:t xml:space="preserve">Вищою кваліфікаційною комісією суддів України </w:t>
      </w:r>
      <w:r w:rsidR="006C6FD4" w:rsidRPr="006D3B9D">
        <w:rPr>
          <w:sz w:val="25"/>
          <w:szCs w:val="25"/>
        </w:rPr>
        <w:t xml:space="preserve">у складі </w:t>
      </w:r>
      <w:r w:rsidR="001324DA" w:rsidRPr="006D3B9D">
        <w:rPr>
          <w:sz w:val="25"/>
          <w:szCs w:val="25"/>
        </w:rPr>
        <w:t>постійної колегії № 3</w:t>
      </w:r>
      <w:r w:rsidR="006C6FD4" w:rsidRPr="006D3B9D">
        <w:rPr>
          <w:sz w:val="25"/>
          <w:szCs w:val="25"/>
        </w:rPr>
        <w:t>.</w:t>
      </w:r>
    </w:p>
    <w:p w14:paraId="6503E4C6" w14:textId="7F0A02D7" w:rsidR="006C6FD4" w:rsidRPr="006D3B9D"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протоколу повторного розподілу між членами Комісії від</w:t>
      </w:r>
      <w:r w:rsidR="00A9218C" w:rsidRPr="006D3B9D">
        <w:rPr>
          <w:sz w:val="25"/>
          <w:szCs w:val="25"/>
        </w:rPr>
        <w:t> </w:t>
      </w:r>
      <w:r w:rsidR="00326D3D" w:rsidRPr="006D3B9D">
        <w:rPr>
          <w:sz w:val="25"/>
          <w:szCs w:val="25"/>
        </w:rPr>
        <w:t>21</w:t>
      </w:r>
      <w:r w:rsidR="00190FBD" w:rsidRPr="006D3B9D">
        <w:rPr>
          <w:sz w:val="25"/>
          <w:szCs w:val="25"/>
        </w:rPr>
        <w:t> </w:t>
      </w:r>
      <w:r w:rsidR="00326D3D" w:rsidRPr="006D3B9D">
        <w:rPr>
          <w:sz w:val="25"/>
          <w:szCs w:val="25"/>
        </w:rPr>
        <w:t>травня</w:t>
      </w:r>
      <w:r w:rsidRPr="006D3B9D">
        <w:rPr>
          <w:sz w:val="25"/>
          <w:szCs w:val="25"/>
        </w:rPr>
        <w:t xml:space="preserve"> 2025 року доповідачем за результатами розгляду матеріалів кандидата на посаду судді апеляційного </w:t>
      </w:r>
      <w:r w:rsidR="001324DA" w:rsidRPr="006D3B9D">
        <w:rPr>
          <w:sz w:val="25"/>
          <w:szCs w:val="25"/>
        </w:rPr>
        <w:t>загального</w:t>
      </w:r>
      <w:r w:rsidRPr="006D3B9D">
        <w:rPr>
          <w:sz w:val="25"/>
          <w:szCs w:val="25"/>
        </w:rPr>
        <w:t xml:space="preserve"> суду </w:t>
      </w:r>
      <w:proofErr w:type="spellStart"/>
      <w:r w:rsidR="000464B3" w:rsidRPr="006D3B9D">
        <w:rPr>
          <w:sz w:val="25"/>
          <w:szCs w:val="25"/>
        </w:rPr>
        <w:t>Косог</w:t>
      </w:r>
      <w:r w:rsidR="001C0977" w:rsidRPr="006D3B9D">
        <w:rPr>
          <w:sz w:val="25"/>
          <w:szCs w:val="25"/>
        </w:rPr>
        <w:t>о</w:t>
      </w:r>
      <w:r w:rsidR="000464B3" w:rsidRPr="006D3B9D">
        <w:rPr>
          <w:sz w:val="25"/>
          <w:szCs w:val="25"/>
        </w:rPr>
        <w:t>р</w:t>
      </w:r>
      <w:proofErr w:type="spellEnd"/>
      <w:r w:rsidR="000464B3" w:rsidRPr="006D3B9D">
        <w:rPr>
          <w:sz w:val="25"/>
          <w:szCs w:val="25"/>
        </w:rPr>
        <w:t xml:space="preserve"> О</w:t>
      </w:r>
      <w:r w:rsidR="001C0977" w:rsidRPr="006D3B9D">
        <w:rPr>
          <w:sz w:val="25"/>
          <w:szCs w:val="25"/>
        </w:rPr>
        <w:t>.М.</w:t>
      </w:r>
      <w:r w:rsidRPr="006D3B9D">
        <w:rPr>
          <w:sz w:val="25"/>
          <w:szCs w:val="25"/>
        </w:rPr>
        <w:t xml:space="preserve"> визначено члена Комісії </w:t>
      </w:r>
      <w:proofErr w:type="spellStart"/>
      <w:r w:rsidRPr="006D3B9D">
        <w:rPr>
          <w:sz w:val="25"/>
          <w:szCs w:val="25"/>
        </w:rPr>
        <w:t>Сабодаша</w:t>
      </w:r>
      <w:proofErr w:type="spellEnd"/>
      <w:r w:rsidRPr="006D3B9D">
        <w:rPr>
          <w:sz w:val="25"/>
          <w:szCs w:val="25"/>
        </w:rPr>
        <w:t xml:space="preserve"> Р.Б.</w:t>
      </w:r>
    </w:p>
    <w:p w14:paraId="15EE0C8F" w14:textId="4DD9858E" w:rsidR="004B6013" w:rsidRPr="006D3B9D" w:rsidRDefault="006A228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Комісі</w:t>
      </w:r>
      <w:r w:rsidR="001C0977" w:rsidRPr="006D3B9D">
        <w:rPr>
          <w:sz w:val="25"/>
          <w:szCs w:val="25"/>
        </w:rPr>
        <w:t>єю запропоновано (лист</w:t>
      </w:r>
      <w:r w:rsidRPr="006D3B9D">
        <w:rPr>
          <w:sz w:val="25"/>
          <w:szCs w:val="25"/>
        </w:rPr>
        <w:t xml:space="preserve"> від </w:t>
      </w:r>
      <w:r w:rsidR="00F10599" w:rsidRPr="006D3B9D">
        <w:rPr>
          <w:sz w:val="25"/>
          <w:szCs w:val="25"/>
        </w:rPr>
        <w:t>26</w:t>
      </w:r>
      <w:r w:rsidR="006C6FD4" w:rsidRPr="006D3B9D">
        <w:rPr>
          <w:sz w:val="25"/>
          <w:szCs w:val="25"/>
        </w:rPr>
        <w:t xml:space="preserve"> </w:t>
      </w:r>
      <w:r w:rsidR="00F10599" w:rsidRPr="006D3B9D">
        <w:rPr>
          <w:sz w:val="25"/>
          <w:szCs w:val="25"/>
        </w:rPr>
        <w:t>травня</w:t>
      </w:r>
      <w:r w:rsidR="006C6FD4" w:rsidRPr="006D3B9D">
        <w:rPr>
          <w:sz w:val="25"/>
          <w:szCs w:val="25"/>
        </w:rPr>
        <w:t xml:space="preserve"> 2025 року </w:t>
      </w:r>
      <w:r w:rsidRPr="006D3B9D">
        <w:rPr>
          <w:sz w:val="25"/>
          <w:szCs w:val="25"/>
        </w:rPr>
        <w:t>№ 21-</w:t>
      </w:r>
      <w:r w:rsidR="00F10599" w:rsidRPr="006D3B9D">
        <w:rPr>
          <w:sz w:val="25"/>
          <w:szCs w:val="25"/>
        </w:rPr>
        <w:t>4281</w:t>
      </w:r>
      <w:r w:rsidRPr="006D3B9D">
        <w:rPr>
          <w:sz w:val="25"/>
          <w:szCs w:val="25"/>
        </w:rPr>
        <w:t>/25</w:t>
      </w:r>
      <w:r w:rsidR="001C0977" w:rsidRPr="006D3B9D">
        <w:rPr>
          <w:sz w:val="25"/>
          <w:szCs w:val="25"/>
        </w:rPr>
        <w:t>)</w:t>
      </w:r>
      <w:r w:rsidR="006C6FD4" w:rsidRPr="006D3B9D">
        <w:rPr>
          <w:sz w:val="25"/>
          <w:szCs w:val="25"/>
        </w:rPr>
        <w:t xml:space="preserve"> кандидат</w:t>
      </w:r>
      <w:r w:rsidRPr="006D3B9D">
        <w:rPr>
          <w:sz w:val="25"/>
          <w:szCs w:val="25"/>
        </w:rPr>
        <w:t>ам</w:t>
      </w:r>
      <w:r w:rsidR="006C6FD4" w:rsidRPr="006D3B9D">
        <w:rPr>
          <w:sz w:val="25"/>
          <w:szCs w:val="25"/>
        </w:rPr>
        <w:t xml:space="preserve"> на посад</w:t>
      </w:r>
      <w:r w:rsidR="00F10599" w:rsidRPr="006D3B9D">
        <w:rPr>
          <w:sz w:val="25"/>
          <w:szCs w:val="25"/>
        </w:rPr>
        <w:t>и</w:t>
      </w:r>
      <w:r w:rsidR="006C6FD4" w:rsidRPr="006D3B9D">
        <w:rPr>
          <w:sz w:val="25"/>
          <w:szCs w:val="25"/>
        </w:rPr>
        <w:t xml:space="preserve"> судді</w:t>
      </w:r>
      <w:r w:rsidR="00F10599" w:rsidRPr="006D3B9D">
        <w:rPr>
          <w:sz w:val="25"/>
          <w:szCs w:val="25"/>
        </w:rPr>
        <w:t>в в</w:t>
      </w:r>
      <w:r w:rsidR="006C6FD4" w:rsidRPr="006D3B9D">
        <w:rPr>
          <w:sz w:val="25"/>
          <w:szCs w:val="25"/>
        </w:rPr>
        <w:t xml:space="preserve"> апеляційн</w:t>
      </w:r>
      <w:r w:rsidR="00F10599" w:rsidRPr="006D3B9D">
        <w:rPr>
          <w:sz w:val="25"/>
          <w:szCs w:val="25"/>
        </w:rPr>
        <w:t>их</w:t>
      </w:r>
      <w:r w:rsidR="006C6FD4" w:rsidRPr="006D3B9D">
        <w:rPr>
          <w:sz w:val="25"/>
          <w:szCs w:val="25"/>
        </w:rPr>
        <w:t xml:space="preserve"> </w:t>
      </w:r>
      <w:r w:rsidR="007935F2" w:rsidRPr="006D3B9D">
        <w:rPr>
          <w:sz w:val="25"/>
          <w:szCs w:val="25"/>
        </w:rPr>
        <w:t>загаль</w:t>
      </w:r>
      <w:r w:rsidR="00F10599" w:rsidRPr="006D3B9D">
        <w:rPr>
          <w:sz w:val="25"/>
          <w:szCs w:val="25"/>
        </w:rPr>
        <w:t>них</w:t>
      </w:r>
      <w:r w:rsidR="006C6FD4" w:rsidRPr="006D3B9D">
        <w:rPr>
          <w:sz w:val="25"/>
          <w:szCs w:val="25"/>
        </w:rPr>
        <w:t xml:space="preserve"> суд</w:t>
      </w:r>
      <w:r w:rsidR="00F10599" w:rsidRPr="006D3B9D">
        <w:rPr>
          <w:sz w:val="25"/>
          <w:szCs w:val="25"/>
        </w:rPr>
        <w:t>ах</w:t>
      </w:r>
      <w:r w:rsidR="00D21742" w:rsidRPr="006D3B9D">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6D3B9D">
        <w:rPr>
          <w:sz w:val="25"/>
          <w:szCs w:val="25"/>
        </w:rPr>
        <w:t xml:space="preserve">їх </w:t>
      </w:r>
      <w:r w:rsidR="00D21742" w:rsidRPr="006D3B9D">
        <w:rPr>
          <w:sz w:val="25"/>
          <w:szCs w:val="25"/>
        </w:rPr>
        <w:t xml:space="preserve">думку, підтверджують відповідність критеріям особистої та соціальної компетентності. </w:t>
      </w:r>
      <w:r w:rsidR="00D91FF6" w:rsidRPr="006D3B9D">
        <w:rPr>
          <w:sz w:val="25"/>
          <w:szCs w:val="25"/>
        </w:rPr>
        <w:t>Водночас</w:t>
      </w:r>
      <w:r w:rsidR="00D21742" w:rsidRPr="006D3B9D">
        <w:rPr>
          <w:sz w:val="25"/>
          <w:szCs w:val="25"/>
        </w:rPr>
        <w:t xml:space="preserve"> увагу кандидатів </w:t>
      </w:r>
      <w:r w:rsidR="001F2BDC" w:rsidRPr="006D3B9D">
        <w:rPr>
          <w:sz w:val="25"/>
          <w:szCs w:val="25"/>
        </w:rPr>
        <w:t>акцентовано</w:t>
      </w:r>
      <w:r w:rsidR="00D21742" w:rsidRPr="006D3B9D">
        <w:rPr>
          <w:sz w:val="25"/>
          <w:szCs w:val="25"/>
        </w:rPr>
        <w:t xml:space="preserve"> на пункт</w:t>
      </w:r>
      <w:r w:rsidR="001F2BDC" w:rsidRPr="006D3B9D">
        <w:rPr>
          <w:sz w:val="25"/>
          <w:szCs w:val="25"/>
        </w:rPr>
        <w:t>і</w:t>
      </w:r>
      <w:r w:rsidR="00D21742" w:rsidRPr="006D3B9D">
        <w:rPr>
          <w:sz w:val="25"/>
          <w:szCs w:val="25"/>
        </w:rPr>
        <w:t xml:space="preserve"> 5.6 розділу</w:t>
      </w:r>
      <w:r w:rsidR="000614F9" w:rsidRPr="006D3B9D">
        <w:rPr>
          <w:sz w:val="25"/>
          <w:szCs w:val="25"/>
        </w:rPr>
        <w:t> </w:t>
      </w:r>
      <w:r w:rsidR="00D21742" w:rsidRPr="006D3B9D">
        <w:rPr>
          <w:sz w:val="25"/>
          <w:szCs w:val="25"/>
        </w:rPr>
        <w:t>5</w:t>
      </w:r>
      <w:r w:rsidR="002F6D8A" w:rsidRPr="006D3B9D">
        <w:rPr>
          <w:sz w:val="25"/>
          <w:szCs w:val="25"/>
        </w:rPr>
        <w:t xml:space="preserve"> </w:t>
      </w:r>
      <w:r w:rsidR="000614F9" w:rsidRPr="006D3B9D">
        <w:rPr>
          <w:sz w:val="25"/>
          <w:szCs w:val="25"/>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1F2BDC" w:rsidRPr="006D3B9D">
        <w:rPr>
          <w:sz w:val="25"/>
          <w:szCs w:val="25"/>
        </w:rPr>
        <w:t xml:space="preserve">, </w:t>
      </w:r>
      <w:r w:rsidR="000614F9" w:rsidRPr="006D3B9D">
        <w:rPr>
          <w:sz w:val="25"/>
          <w:szCs w:val="25"/>
        </w:rPr>
        <w:t>у</w:t>
      </w:r>
      <w:r w:rsidR="001F2BDC" w:rsidRPr="006D3B9D">
        <w:rPr>
          <w:sz w:val="25"/>
          <w:szCs w:val="25"/>
        </w:rPr>
        <w:t xml:space="preserve"> якому</w:t>
      </w:r>
      <w:r w:rsidR="00EF0E23" w:rsidRPr="006D3B9D">
        <w:rPr>
          <w:sz w:val="25"/>
          <w:szCs w:val="25"/>
        </w:rPr>
        <w:t xml:space="preserve"> </w:t>
      </w:r>
      <w:r w:rsidR="00D21742" w:rsidRPr="006D3B9D">
        <w:rPr>
          <w:sz w:val="25"/>
          <w:szCs w:val="25"/>
        </w:rPr>
        <w:t>визначено вагу критеріїв та показників під час</w:t>
      </w:r>
      <w:r w:rsidR="007E0F0D" w:rsidRPr="006D3B9D">
        <w:rPr>
          <w:sz w:val="25"/>
          <w:szCs w:val="25"/>
        </w:rPr>
        <w:t xml:space="preserve"> </w:t>
      </w:r>
      <w:r w:rsidR="00D21742" w:rsidRPr="006D3B9D">
        <w:rPr>
          <w:sz w:val="25"/>
          <w:szCs w:val="25"/>
        </w:rPr>
        <w:t>кваліфікаційного оцінювання</w:t>
      </w:r>
      <w:r w:rsidR="001F2BDC" w:rsidRPr="006D3B9D">
        <w:rPr>
          <w:sz w:val="25"/>
          <w:szCs w:val="25"/>
        </w:rPr>
        <w:t>.</w:t>
      </w:r>
      <w:r w:rsidR="00D21742" w:rsidRPr="006D3B9D">
        <w:rPr>
          <w:sz w:val="25"/>
          <w:szCs w:val="25"/>
        </w:rPr>
        <w:t xml:space="preserve"> </w:t>
      </w:r>
      <w:r w:rsidR="001F2BDC" w:rsidRPr="006D3B9D">
        <w:rPr>
          <w:sz w:val="25"/>
          <w:szCs w:val="25"/>
        </w:rPr>
        <w:t>З</w:t>
      </w:r>
      <w:r w:rsidR="00D21742" w:rsidRPr="006D3B9D">
        <w:rPr>
          <w:sz w:val="25"/>
          <w:szCs w:val="25"/>
        </w:rPr>
        <w:t xml:space="preserve">окрема, особиста компетентність </w:t>
      </w:r>
      <w:bookmarkStart w:id="2" w:name="_Hlk198771153"/>
      <w:r w:rsidR="001F2BDC" w:rsidRPr="006D3B9D">
        <w:rPr>
          <w:sz w:val="25"/>
          <w:szCs w:val="25"/>
        </w:rPr>
        <w:t>‒</w:t>
      </w:r>
      <w:bookmarkEnd w:id="2"/>
      <w:r w:rsidR="00D21742" w:rsidRPr="006D3B9D">
        <w:rPr>
          <w:sz w:val="25"/>
          <w:szCs w:val="25"/>
        </w:rPr>
        <w:t xml:space="preserve"> 50 балів (рішучість та відповідальність </w:t>
      </w:r>
      <w:r w:rsidR="001F2BDC" w:rsidRPr="006D3B9D">
        <w:rPr>
          <w:sz w:val="25"/>
          <w:szCs w:val="25"/>
        </w:rPr>
        <w:t>‒</w:t>
      </w:r>
      <w:r w:rsidR="00D21742" w:rsidRPr="006D3B9D">
        <w:rPr>
          <w:sz w:val="25"/>
          <w:szCs w:val="25"/>
        </w:rPr>
        <w:t xml:space="preserve"> 25 балів, безперервний розвиток </w:t>
      </w:r>
      <w:r w:rsidR="001F2BDC" w:rsidRPr="006D3B9D">
        <w:rPr>
          <w:sz w:val="25"/>
          <w:szCs w:val="25"/>
        </w:rPr>
        <w:t>‒</w:t>
      </w:r>
      <w:r w:rsidR="00D21742" w:rsidRPr="006D3B9D">
        <w:rPr>
          <w:sz w:val="25"/>
          <w:szCs w:val="25"/>
        </w:rPr>
        <w:t xml:space="preserve"> 25 балів) </w:t>
      </w:r>
      <w:r w:rsidR="001F2BDC" w:rsidRPr="006D3B9D">
        <w:rPr>
          <w:sz w:val="25"/>
          <w:szCs w:val="25"/>
        </w:rPr>
        <w:t>і</w:t>
      </w:r>
      <w:r w:rsidR="00D21742" w:rsidRPr="006D3B9D">
        <w:rPr>
          <w:sz w:val="25"/>
          <w:szCs w:val="25"/>
        </w:rPr>
        <w:t xml:space="preserve"> соціальна компетентність </w:t>
      </w:r>
      <w:r w:rsidR="001F2BDC" w:rsidRPr="006D3B9D">
        <w:rPr>
          <w:sz w:val="25"/>
          <w:szCs w:val="25"/>
        </w:rPr>
        <w:t>‒</w:t>
      </w:r>
      <w:r w:rsidR="00D21742" w:rsidRPr="006D3B9D">
        <w:rPr>
          <w:sz w:val="25"/>
          <w:szCs w:val="25"/>
        </w:rPr>
        <w:t xml:space="preserve"> 50 балів (ефективна комунікація </w:t>
      </w:r>
      <w:r w:rsidR="001F2BDC" w:rsidRPr="006D3B9D">
        <w:rPr>
          <w:sz w:val="25"/>
          <w:szCs w:val="25"/>
        </w:rPr>
        <w:t>‒</w:t>
      </w:r>
      <w:r w:rsidR="00D21742" w:rsidRPr="006D3B9D">
        <w:rPr>
          <w:sz w:val="25"/>
          <w:szCs w:val="25"/>
        </w:rPr>
        <w:t xml:space="preserve"> 12,5</w:t>
      </w:r>
      <w:r w:rsidR="00DE31AC" w:rsidRPr="006D3B9D">
        <w:rPr>
          <w:sz w:val="25"/>
          <w:szCs w:val="25"/>
        </w:rPr>
        <w:t> </w:t>
      </w:r>
      <w:proofErr w:type="spellStart"/>
      <w:r w:rsidR="00D21742" w:rsidRPr="006D3B9D">
        <w:rPr>
          <w:sz w:val="25"/>
          <w:szCs w:val="25"/>
        </w:rPr>
        <w:t>бала</w:t>
      </w:r>
      <w:proofErr w:type="spellEnd"/>
      <w:r w:rsidR="00D21742" w:rsidRPr="006D3B9D">
        <w:rPr>
          <w:sz w:val="25"/>
          <w:szCs w:val="25"/>
        </w:rPr>
        <w:t xml:space="preserve">, ефективна взаємодія </w:t>
      </w:r>
      <w:r w:rsidR="001F2BDC" w:rsidRPr="006D3B9D">
        <w:rPr>
          <w:sz w:val="25"/>
          <w:szCs w:val="25"/>
        </w:rPr>
        <w:t>‒</w:t>
      </w:r>
      <w:r w:rsidR="00D21742" w:rsidRPr="006D3B9D">
        <w:rPr>
          <w:sz w:val="25"/>
          <w:szCs w:val="25"/>
        </w:rPr>
        <w:t xml:space="preserve"> 12,5 </w:t>
      </w:r>
      <w:proofErr w:type="spellStart"/>
      <w:r w:rsidR="00D21742" w:rsidRPr="006D3B9D">
        <w:rPr>
          <w:sz w:val="25"/>
          <w:szCs w:val="25"/>
        </w:rPr>
        <w:t>бала</w:t>
      </w:r>
      <w:proofErr w:type="spellEnd"/>
      <w:r w:rsidR="00D21742" w:rsidRPr="006D3B9D">
        <w:rPr>
          <w:sz w:val="25"/>
          <w:szCs w:val="25"/>
        </w:rPr>
        <w:t xml:space="preserve">, стійкість мотивації </w:t>
      </w:r>
      <w:r w:rsidR="001F2BDC" w:rsidRPr="006D3B9D">
        <w:rPr>
          <w:sz w:val="25"/>
          <w:szCs w:val="25"/>
        </w:rPr>
        <w:t>‒</w:t>
      </w:r>
      <w:r w:rsidR="00D21742" w:rsidRPr="006D3B9D">
        <w:rPr>
          <w:sz w:val="25"/>
          <w:szCs w:val="25"/>
        </w:rPr>
        <w:t xml:space="preserve"> 12,5 </w:t>
      </w:r>
      <w:proofErr w:type="spellStart"/>
      <w:r w:rsidR="00D21742" w:rsidRPr="006D3B9D">
        <w:rPr>
          <w:sz w:val="25"/>
          <w:szCs w:val="25"/>
        </w:rPr>
        <w:t>бала</w:t>
      </w:r>
      <w:proofErr w:type="spellEnd"/>
      <w:r w:rsidR="00D21742" w:rsidRPr="006D3B9D">
        <w:rPr>
          <w:sz w:val="25"/>
          <w:szCs w:val="25"/>
        </w:rPr>
        <w:t xml:space="preserve">, емоційна стійкість </w:t>
      </w:r>
      <w:r w:rsidR="001F2BDC" w:rsidRPr="006D3B9D">
        <w:rPr>
          <w:sz w:val="25"/>
          <w:szCs w:val="25"/>
        </w:rPr>
        <w:t>‒</w:t>
      </w:r>
      <w:r w:rsidR="00D21742" w:rsidRPr="006D3B9D">
        <w:rPr>
          <w:sz w:val="25"/>
          <w:szCs w:val="25"/>
        </w:rPr>
        <w:t xml:space="preserve"> 12,5 </w:t>
      </w:r>
      <w:proofErr w:type="spellStart"/>
      <w:r w:rsidR="00D21742" w:rsidRPr="006D3B9D">
        <w:rPr>
          <w:sz w:val="25"/>
          <w:szCs w:val="25"/>
        </w:rPr>
        <w:t>бала</w:t>
      </w:r>
      <w:proofErr w:type="spellEnd"/>
      <w:r w:rsidR="00D21742" w:rsidRPr="006D3B9D">
        <w:rPr>
          <w:sz w:val="25"/>
          <w:szCs w:val="25"/>
        </w:rPr>
        <w:t>).</w:t>
      </w:r>
      <w:r w:rsidR="004B6013" w:rsidRPr="006D3B9D">
        <w:rPr>
          <w:sz w:val="25"/>
          <w:szCs w:val="25"/>
        </w:rPr>
        <w:t xml:space="preserve"> </w:t>
      </w:r>
    </w:p>
    <w:p w14:paraId="7F4DB1AB" w14:textId="1DBC88EB" w:rsidR="00D21742" w:rsidRPr="006D3B9D" w:rsidRDefault="007935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0</w:t>
      </w:r>
      <w:r w:rsidR="00006E96" w:rsidRPr="006D3B9D">
        <w:rPr>
          <w:sz w:val="25"/>
          <w:szCs w:val="25"/>
        </w:rPr>
        <w:t>9</w:t>
      </w:r>
      <w:r w:rsidR="00D21742" w:rsidRPr="006D3B9D">
        <w:rPr>
          <w:sz w:val="25"/>
          <w:szCs w:val="25"/>
        </w:rPr>
        <w:t xml:space="preserve"> </w:t>
      </w:r>
      <w:r w:rsidRPr="006D3B9D">
        <w:rPr>
          <w:sz w:val="25"/>
          <w:szCs w:val="25"/>
        </w:rPr>
        <w:t>червня</w:t>
      </w:r>
      <w:r w:rsidR="005011DE" w:rsidRPr="006D3B9D">
        <w:rPr>
          <w:sz w:val="25"/>
          <w:szCs w:val="25"/>
        </w:rPr>
        <w:t xml:space="preserve"> та 11 червня</w:t>
      </w:r>
      <w:r w:rsidR="00D21742" w:rsidRPr="006D3B9D">
        <w:rPr>
          <w:sz w:val="25"/>
          <w:szCs w:val="25"/>
        </w:rPr>
        <w:t xml:space="preserve"> 2025 року </w:t>
      </w:r>
      <w:r w:rsidR="00433FA7" w:rsidRPr="006D3B9D">
        <w:rPr>
          <w:sz w:val="25"/>
          <w:szCs w:val="25"/>
        </w:rPr>
        <w:t xml:space="preserve">до Комісії надійшли пояснення та докази від </w:t>
      </w:r>
      <w:r w:rsidR="00D21742" w:rsidRPr="006D3B9D">
        <w:rPr>
          <w:sz w:val="25"/>
          <w:szCs w:val="25"/>
        </w:rPr>
        <w:t>кандидат</w:t>
      </w:r>
      <w:r w:rsidR="00433FA7" w:rsidRPr="006D3B9D">
        <w:rPr>
          <w:sz w:val="25"/>
          <w:szCs w:val="25"/>
        </w:rPr>
        <w:t>а</w:t>
      </w:r>
      <w:r w:rsidR="00D21742" w:rsidRPr="006D3B9D">
        <w:rPr>
          <w:sz w:val="25"/>
          <w:szCs w:val="25"/>
        </w:rPr>
        <w:t xml:space="preserve"> </w:t>
      </w:r>
      <w:proofErr w:type="spellStart"/>
      <w:r w:rsidR="003D3E60" w:rsidRPr="006D3B9D">
        <w:rPr>
          <w:sz w:val="25"/>
          <w:szCs w:val="25"/>
        </w:rPr>
        <w:t>Косогор</w:t>
      </w:r>
      <w:proofErr w:type="spellEnd"/>
      <w:r w:rsidR="00897F69" w:rsidRPr="006D3B9D">
        <w:rPr>
          <w:sz w:val="25"/>
          <w:szCs w:val="25"/>
        </w:rPr>
        <w:t xml:space="preserve"> </w:t>
      </w:r>
      <w:r w:rsidR="003D3E60" w:rsidRPr="006D3B9D">
        <w:rPr>
          <w:sz w:val="25"/>
          <w:szCs w:val="25"/>
        </w:rPr>
        <w:t>О</w:t>
      </w:r>
      <w:r w:rsidR="00897F69" w:rsidRPr="006D3B9D">
        <w:rPr>
          <w:sz w:val="25"/>
          <w:szCs w:val="25"/>
        </w:rPr>
        <w:t>.</w:t>
      </w:r>
      <w:r w:rsidR="003D3E60" w:rsidRPr="006D3B9D">
        <w:rPr>
          <w:sz w:val="25"/>
          <w:szCs w:val="25"/>
        </w:rPr>
        <w:t>М</w:t>
      </w:r>
      <w:r w:rsidR="00897F69" w:rsidRPr="006D3B9D">
        <w:rPr>
          <w:sz w:val="25"/>
          <w:szCs w:val="25"/>
        </w:rPr>
        <w:t>.</w:t>
      </w:r>
      <w:r w:rsidR="00D21742" w:rsidRPr="006D3B9D">
        <w:rPr>
          <w:sz w:val="25"/>
          <w:szCs w:val="25"/>
        </w:rPr>
        <w:t xml:space="preserve"> на виконання листа </w:t>
      </w:r>
      <w:r w:rsidR="00433FA7" w:rsidRPr="006D3B9D">
        <w:rPr>
          <w:sz w:val="25"/>
          <w:szCs w:val="25"/>
        </w:rPr>
        <w:t xml:space="preserve">Комісії </w:t>
      </w:r>
      <w:r w:rsidR="00F10599" w:rsidRPr="006D3B9D">
        <w:rPr>
          <w:sz w:val="25"/>
          <w:szCs w:val="25"/>
        </w:rPr>
        <w:t>26 травня 2025 року № 21-4281/25</w:t>
      </w:r>
      <w:r w:rsidR="00D21742" w:rsidRPr="006D3B9D">
        <w:rPr>
          <w:sz w:val="25"/>
          <w:szCs w:val="25"/>
        </w:rPr>
        <w:t xml:space="preserve">. </w:t>
      </w:r>
      <w:r w:rsidR="00433FA7" w:rsidRPr="006D3B9D">
        <w:rPr>
          <w:sz w:val="25"/>
          <w:szCs w:val="25"/>
        </w:rPr>
        <w:t>К</w:t>
      </w:r>
      <w:r w:rsidR="00D21742" w:rsidRPr="006D3B9D">
        <w:rPr>
          <w:sz w:val="25"/>
          <w:szCs w:val="25"/>
        </w:rPr>
        <w:t>андидат на</w:t>
      </w:r>
      <w:r w:rsidR="00433FA7" w:rsidRPr="006D3B9D">
        <w:rPr>
          <w:sz w:val="25"/>
          <w:szCs w:val="25"/>
        </w:rPr>
        <w:t>да</w:t>
      </w:r>
      <w:r w:rsidR="003D3E60" w:rsidRPr="006D3B9D">
        <w:rPr>
          <w:sz w:val="25"/>
          <w:szCs w:val="25"/>
        </w:rPr>
        <w:t>ла</w:t>
      </w:r>
      <w:r w:rsidR="00D21742" w:rsidRPr="006D3B9D">
        <w:rPr>
          <w:sz w:val="25"/>
          <w:szCs w:val="25"/>
        </w:rPr>
        <w:t xml:space="preserve"> інформацію, яка</w:t>
      </w:r>
      <w:r w:rsidR="00433FA7" w:rsidRPr="006D3B9D">
        <w:rPr>
          <w:sz w:val="25"/>
          <w:szCs w:val="25"/>
        </w:rPr>
        <w:t>,</w:t>
      </w:r>
      <w:r w:rsidR="00D21742" w:rsidRPr="006D3B9D">
        <w:rPr>
          <w:sz w:val="25"/>
          <w:szCs w:val="25"/>
        </w:rPr>
        <w:t xml:space="preserve"> на </w:t>
      </w:r>
      <w:r w:rsidR="003D3E60" w:rsidRPr="006D3B9D">
        <w:rPr>
          <w:sz w:val="25"/>
          <w:szCs w:val="25"/>
        </w:rPr>
        <w:t>її</w:t>
      </w:r>
      <w:r w:rsidR="00D21742" w:rsidRPr="006D3B9D">
        <w:rPr>
          <w:sz w:val="25"/>
          <w:szCs w:val="25"/>
        </w:rPr>
        <w:t xml:space="preserve"> думку, підтверджує </w:t>
      </w:r>
      <w:r w:rsidR="003D3E60" w:rsidRPr="006D3B9D">
        <w:rPr>
          <w:sz w:val="25"/>
          <w:szCs w:val="25"/>
        </w:rPr>
        <w:t>її</w:t>
      </w:r>
      <w:r w:rsidR="00D21742" w:rsidRPr="006D3B9D">
        <w:rPr>
          <w:sz w:val="25"/>
          <w:szCs w:val="25"/>
        </w:rPr>
        <w:t xml:space="preserve"> відповідність показникам критерію особист</w:t>
      </w:r>
      <w:r w:rsidR="007E3CEA" w:rsidRPr="006D3B9D">
        <w:rPr>
          <w:sz w:val="25"/>
          <w:szCs w:val="25"/>
        </w:rPr>
        <w:t>ої</w:t>
      </w:r>
      <w:r w:rsidR="00D21742" w:rsidRPr="006D3B9D">
        <w:rPr>
          <w:sz w:val="25"/>
          <w:szCs w:val="25"/>
        </w:rPr>
        <w:t xml:space="preserve"> компетентн</w:t>
      </w:r>
      <w:r w:rsidR="007E3CEA" w:rsidRPr="006D3B9D">
        <w:rPr>
          <w:sz w:val="25"/>
          <w:szCs w:val="25"/>
        </w:rPr>
        <w:t>ості</w:t>
      </w:r>
      <w:r w:rsidR="00D21742" w:rsidRPr="006D3B9D">
        <w:rPr>
          <w:sz w:val="25"/>
          <w:szCs w:val="25"/>
        </w:rPr>
        <w:t>: «Рішучість та відповідальність», «Безперервний розвиток»</w:t>
      </w:r>
      <w:r w:rsidR="005268D7" w:rsidRPr="006D3B9D">
        <w:rPr>
          <w:sz w:val="25"/>
          <w:szCs w:val="25"/>
        </w:rPr>
        <w:t>,</w:t>
      </w:r>
      <w:r w:rsidR="00D21742" w:rsidRPr="006D3B9D">
        <w:rPr>
          <w:sz w:val="25"/>
          <w:szCs w:val="25"/>
        </w:rPr>
        <w:t xml:space="preserve"> та показникам критерію соціальн</w:t>
      </w:r>
      <w:r w:rsidR="007E3CEA" w:rsidRPr="006D3B9D">
        <w:rPr>
          <w:sz w:val="25"/>
          <w:szCs w:val="25"/>
        </w:rPr>
        <w:t>ої</w:t>
      </w:r>
      <w:r w:rsidR="00D21742" w:rsidRPr="006D3B9D">
        <w:rPr>
          <w:sz w:val="25"/>
          <w:szCs w:val="25"/>
        </w:rPr>
        <w:t xml:space="preserve"> компетентн</w:t>
      </w:r>
      <w:r w:rsidR="007E3CEA" w:rsidRPr="006D3B9D">
        <w:rPr>
          <w:sz w:val="25"/>
          <w:szCs w:val="25"/>
        </w:rPr>
        <w:t>ості</w:t>
      </w:r>
      <w:r w:rsidR="00D21742" w:rsidRPr="006D3B9D">
        <w:rPr>
          <w:sz w:val="25"/>
          <w:szCs w:val="25"/>
        </w:rPr>
        <w:t xml:space="preserve">: «Ефективна комунікація», «Ефективна взаємодія», «Стійкість мотивації», «Емоційна стійкість». </w:t>
      </w:r>
    </w:p>
    <w:p w14:paraId="2DDF62ED" w14:textId="29519250" w:rsidR="00006E96" w:rsidRPr="006D3B9D" w:rsidRDefault="00C553B9" w:rsidP="004D3F7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До Комісії </w:t>
      </w:r>
      <w:r w:rsidR="003D3E60" w:rsidRPr="006D3B9D">
        <w:rPr>
          <w:sz w:val="25"/>
          <w:szCs w:val="25"/>
        </w:rPr>
        <w:t>16</w:t>
      </w:r>
      <w:r w:rsidR="00D21742" w:rsidRPr="006D3B9D">
        <w:rPr>
          <w:sz w:val="25"/>
          <w:szCs w:val="25"/>
        </w:rPr>
        <w:t xml:space="preserve"> </w:t>
      </w:r>
      <w:r w:rsidR="007935F2" w:rsidRPr="006D3B9D">
        <w:rPr>
          <w:sz w:val="25"/>
          <w:szCs w:val="25"/>
        </w:rPr>
        <w:t>липня</w:t>
      </w:r>
      <w:r w:rsidR="00D21742" w:rsidRPr="006D3B9D">
        <w:rPr>
          <w:sz w:val="25"/>
          <w:szCs w:val="25"/>
        </w:rPr>
        <w:t xml:space="preserve"> 2025 року надійш</w:t>
      </w:r>
      <w:r w:rsidR="00006E96" w:rsidRPr="006D3B9D">
        <w:rPr>
          <w:sz w:val="25"/>
          <w:szCs w:val="25"/>
        </w:rPr>
        <w:t>ов</w:t>
      </w:r>
      <w:r w:rsidR="00D21742" w:rsidRPr="006D3B9D">
        <w:rPr>
          <w:sz w:val="25"/>
          <w:szCs w:val="25"/>
        </w:rPr>
        <w:t xml:space="preserve"> </w:t>
      </w:r>
      <w:r w:rsidR="00006E96" w:rsidRPr="006D3B9D">
        <w:rPr>
          <w:sz w:val="25"/>
          <w:szCs w:val="25"/>
        </w:rPr>
        <w:t xml:space="preserve">висновок Громадської ради доброчесності (далі – ГРД) про невідповідність кандидата на посаду судді </w:t>
      </w:r>
      <w:proofErr w:type="spellStart"/>
      <w:r w:rsidR="003D3E60" w:rsidRPr="006D3B9D">
        <w:rPr>
          <w:sz w:val="25"/>
          <w:szCs w:val="25"/>
        </w:rPr>
        <w:t>Косогор</w:t>
      </w:r>
      <w:proofErr w:type="spellEnd"/>
      <w:r w:rsidR="003D3E60" w:rsidRPr="006D3B9D">
        <w:rPr>
          <w:sz w:val="25"/>
          <w:szCs w:val="25"/>
        </w:rPr>
        <w:t xml:space="preserve"> Оксани Миколаївни</w:t>
      </w:r>
      <w:r w:rsidR="00006E96" w:rsidRPr="006D3B9D">
        <w:rPr>
          <w:sz w:val="25"/>
          <w:szCs w:val="25"/>
        </w:rPr>
        <w:t xml:space="preserve"> критеріям доброчесності та професійної етики, затверджений </w:t>
      </w:r>
      <w:r w:rsidR="006C7C31" w:rsidRPr="006D3B9D">
        <w:rPr>
          <w:sz w:val="25"/>
          <w:szCs w:val="25"/>
        </w:rPr>
        <w:t>15</w:t>
      </w:r>
      <w:r w:rsidR="00006E96" w:rsidRPr="006D3B9D">
        <w:rPr>
          <w:sz w:val="25"/>
          <w:szCs w:val="25"/>
        </w:rPr>
        <w:t xml:space="preserve"> липня 2025</w:t>
      </w:r>
      <w:r w:rsidR="000614F9" w:rsidRPr="006D3B9D">
        <w:rPr>
          <w:sz w:val="25"/>
          <w:szCs w:val="25"/>
        </w:rPr>
        <w:t> </w:t>
      </w:r>
      <w:r w:rsidR="00006E96" w:rsidRPr="006D3B9D">
        <w:rPr>
          <w:sz w:val="25"/>
          <w:szCs w:val="25"/>
        </w:rPr>
        <w:t xml:space="preserve">року (далі – </w:t>
      </w:r>
      <w:r w:rsidR="009D5209" w:rsidRPr="006D3B9D">
        <w:rPr>
          <w:sz w:val="25"/>
          <w:szCs w:val="25"/>
        </w:rPr>
        <w:t>в</w:t>
      </w:r>
      <w:r w:rsidR="00006E96" w:rsidRPr="006D3B9D">
        <w:rPr>
          <w:sz w:val="25"/>
          <w:szCs w:val="25"/>
        </w:rPr>
        <w:t>исновок)</w:t>
      </w:r>
    </w:p>
    <w:p w14:paraId="69CA585B" w14:textId="77777777" w:rsidR="00BA2973" w:rsidRPr="006D3B9D" w:rsidRDefault="00382D7B" w:rsidP="00BA297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Підставою для </w:t>
      </w:r>
      <w:r w:rsidR="00F10599" w:rsidRPr="006D3B9D">
        <w:rPr>
          <w:sz w:val="25"/>
          <w:szCs w:val="25"/>
        </w:rPr>
        <w:t xml:space="preserve">надання </w:t>
      </w:r>
      <w:r w:rsidR="00006E96" w:rsidRPr="006D3B9D">
        <w:rPr>
          <w:sz w:val="25"/>
          <w:szCs w:val="25"/>
        </w:rPr>
        <w:t>Висновку</w:t>
      </w:r>
      <w:r w:rsidRPr="006D3B9D">
        <w:rPr>
          <w:sz w:val="25"/>
          <w:szCs w:val="25"/>
        </w:rPr>
        <w:t xml:space="preserve"> слугували виявлені ГРД обставини</w:t>
      </w:r>
      <w:r w:rsidR="00006E96" w:rsidRPr="006D3B9D">
        <w:rPr>
          <w:sz w:val="25"/>
          <w:szCs w:val="25"/>
        </w:rPr>
        <w:t>.</w:t>
      </w:r>
    </w:p>
    <w:p w14:paraId="184EEA85" w14:textId="4E01DCA8" w:rsidR="003D3E60" w:rsidRPr="006D3B9D" w:rsidRDefault="003D3E60"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досьє та/або поясненнях кандидата відсутня переконлива інформація про джерела походження ліквідного майна, витрат, отриманих благ (</w:t>
      </w:r>
      <w:r w:rsidR="000614F9" w:rsidRPr="006D3B9D">
        <w:rPr>
          <w:sz w:val="25"/>
          <w:szCs w:val="25"/>
        </w:rPr>
        <w:t>її</w:t>
      </w:r>
      <w:r w:rsidRPr="006D3B9D">
        <w:rPr>
          <w:sz w:val="25"/>
          <w:szCs w:val="25"/>
        </w:rPr>
        <w:t>, членів сім’ї чи близьких осіб</w:t>
      </w:r>
      <w:r w:rsidR="003A06EF" w:rsidRPr="006D3B9D">
        <w:rPr>
          <w:sz w:val="25"/>
          <w:szCs w:val="25"/>
        </w:rPr>
        <w:t>)</w:t>
      </w:r>
      <w:r w:rsidRPr="006D3B9D">
        <w:rPr>
          <w:sz w:val="25"/>
          <w:szCs w:val="25"/>
        </w:rPr>
        <w:t xml:space="preserve"> і/або легальні доходи, на думку розсудливого спостерігача, викликають сумніви щодо їх достатності для набуття такого майна, здійснення витрат, отримання благ.</w:t>
      </w:r>
    </w:p>
    <w:p w14:paraId="197B2900" w14:textId="61483539" w:rsidR="003D3E60" w:rsidRPr="006D3B9D" w:rsidRDefault="003D3E60"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У 2021 році родина кандидатки набула у власність два автомобіл</w:t>
      </w:r>
      <w:r w:rsidR="000614F9" w:rsidRPr="006D3B9D">
        <w:rPr>
          <w:sz w:val="25"/>
          <w:szCs w:val="25"/>
        </w:rPr>
        <w:t>і</w:t>
      </w:r>
      <w:r w:rsidRPr="006D3B9D">
        <w:rPr>
          <w:sz w:val="25"/>
          <w:szCs w:val="25"/>
        </w:rPr>
        <w:t xml:space="preserve"> та мотоцикл марки:</w:t>
      </w:r>
    </w:p>
    <w:p w14:paraId="24E0A6E7" w14:textId="2453F3A0" w:rsidR="003D3E60" w:rsidRPr="006D3B9D" w:rsidRDefault="003D3E60" w:rsidP="003D3E60">
      <w:pPr>
        <w:pStyle w:val="a9"/>
        <w:shd w:val="clear" w:color="auto" w:fill="FFFFFF"/>
        <w:tabs>
          <w:tab w:val="left" w:pos="426"/>
        </w:tabs>
        <w:spacing w:after="200" w:line="276" w:lineRule="auto"/>
        <w:ind w:left="502"/>
        <w:jc w:val="both"/>
        <w:rPr>
          <w:sz w:val="25"/>
          <w:szCs w:val="25"/>
        </w:rPr>
      </w:pPr>
      <w:r w:rsidRPr="006D3B9D">
        <w:rPr>
          <w:sz w:val="25"/>
          <w:szCs w:val="25"/>
        </w:rPr>
        <w:t>-</w:t>
      </w:r>
      <w:r w:rsidR="009D5209" w:rsidRPr="006D3B9D">
        <w:rPr>
          <w:sz w:val="25"/>
          <w:szCs w:val="25"/>
        </w:rPr>
        <w:t xml:space="preserve"> </w:t>
      </w:r>
      <w:r w:rsidRPr="006D3B9D">
        <w:rPr>
          <w:sz w:val="25"/>
          <w:szCs w:val="25"/>
        </w:rPr>
        <w:t>«VOLKSWAGEN TIGUAN» 2018 року випуску, вартістю 377</w:t>
      </w:r>
      <w:r w:rsidR="00592FB5" w:rsidRPr="006D3B9D">
        <w:rPr>
          <w:sz w:val="25"/>
          <w:szCs w:val="25"/>
        </w:rPr>
        <w:t> </w:t>
      </w:r>
      <w:r w:rsidRPr="006D3B9D">
        <w:rPr>
          <w:sz w:val="25"/>
          <w:szCs w:val="25"/>
        </w:rPr>
        <w:t xml:space="preserve">746 грн (дата набуття права </w:t>
      </w:r>
      <w:r w:rsidR="009D5209" w:rsidRPr="006D3B9D">
        <w:rPr>
          <w:sz w:val="25"/>
          <w:szCs w:val="25"/>
        </w:rPr>
        <w:t xml:space="preserve">– </w:t>
      </w:r>
      <w:r w:rsidRPr="006D3B9D">
        <w:rPr>
          <w:sz w:val="25"/>
          <w:szCs w:val="25"/>
        </w:rPr>
        <w:t>28</w:t>
      </w:r>
      <w:r w:rsidR="00592FB5" w:rsidRPr="006D3B9D">
        <w:rPr>
          <w:sz w:val="25"/>
          <w:szCs w:val="25"/>
        </w:rPr>
        <w:t xml:space="preserve"> травня </w:t>
      </w:r>
      <w:r w:rsidRPr="006D3B9D">
        <w:rPr>
          <w:sz w:val="25"/>
          <w:szCs w:val="25"/>
        </w:rPr>
        <w:t>2021</w:t>
      </w:r>
      <w:r w:rsidR="00592FB5" w:rsidRPr="006D3B9D">
        <w:rPr>
          <w:sz w:val="25"/>
          <w:szCs w:val="25"/>
        </w:rPr>
        <w:t xml:space="preserve"> року</w:t>
      </w:r>
      <w:r w:rsidRPr="006D3B9D">
        <w:rPr>
          <w:sz w:val="25"/>
          <w:szCs w:val="25"/>
        </w:rPr>
        <w:t>);</w:t>
      </w:r>
    </w:p>
    <w:p w14:paraId="596FA918" w14:textId="3AD0D770" w:rsidR="003D3E60" w:rsidRPr="006D3B9D" w:rsidRDefault="003D3E60" w:rsidP="003D3E60">
      <w:pPr>
        <w:pStyle w:val="a9"/>
        <w:shd w:val="clear" w:color="auto" w:fill="FFFFFF"/>
        <w:tabs>
          <w:tab w:val="left" w:pos="426"/>
        </w:tabs>
        <w:spacing w:after="200" w:line="276" w:lineRule="auto"/>
        <w:ind w:left="502"/>
        <w:jc w:val="both"/>
        <w:rPr>
          <w:sz w:val="25"/>
          <w:szCs w:val="25"/>
        </w:rPr>
      </w:pPr>
      <w:r w:rsidRPr="006D3B9D">
        <w:rPr>
          <w:sz w:val="25"/>
          <w:szCs w:val="25"/>
        </w:rPr>
        <w:t>-</w:t>
      </w:r>
      <w:r w:rsidR="009D5209" w:rsidRPr="006D3B9D">
        <w:rPr>
          <w:sz w:val="25"/>
          <w:szCs w:val="25"/>
        </w:rPr>
        <w:t xml:space="preserve"> </w:t>
      </w:r>
      <w:r w:rsidRPr="006D3B9D">
        <w:rPr>
          <w:sz w:val="25"/>
          <w:szCs w:val="25"/>
        </w:rPr>
        <w:t>«FORD FUSION» 2018 року випуску, вартістю 120</w:t>
      </w:r>
      <w:r w:rsidR="00592FB5" w:rsidRPr="006D3B9D">
        <w:rPr>
          <w:sz w:val="25"/>
          <w:szCs w:val="25"/>
        </w:rPr>
        <w:t> </w:t>
      </w:r>
      <w:r w:rsidRPr="006D3B9D">
        <w:rPr>
          <w:sz w:val="25"/>
          <w:szCs w:val="25"/>
        </w:rPr>
        <w:t xml:space="preserve">538 грн (дата набуття права </w:t>
      </w:r>
      <w:r w:rsidR="009D5209" w:rsidRPr="006D3B9D">
        <w:rPr>
          <w:sz w:val="25"/>
          <w:szCs w:val="25"/>
        </w:rPr>
        <w:t xml:space="preserve">– </w:t>
      </w:r>
      <w:r w:rsidRPr="006D3B9D">
        <w:rPr>
          <w:sz w:val="25"/>
          <w:szCs w:val="25"/>
        </w:rPr>
        <w:t>29</w:t>
      </w:r>
      <w:r w:rsidR="006C7C31" w:rsidRPr="006D3B9D">
        <w:rPr>
          <w:sz w:val="25"/>
          <w:szCs w:val="25"/>
        </w:rPr>
        <w:t> </w:t>
      </w:r>
      <w:r w:rsidR="00592FB5" w:rsidRPr="006D3B9D">
        <w:rPr>
          <w:sz w:val="25"/>
          <w:szCs w:val="25"/>
        </w:rPr>
        <w:t xml:space="preserve">квітня </w:t>
      </w:r>
      <w:r w:rsidRPr="006D3B9D">
        <w:rPr>
          <w:sz w:val="25"/>
          <w:szCs w:val="25"/>
        </w:rPr>
        <w:t>2021</w:t>
      </w:r>
      <w:r w:rsidR="00592FB5" w:rsidRPr="006D3B9D">
        <w:rPr>
          <w:sz w:val="25"/>
          <w:szCs w:val="25"/>
        </w:rPr>
        <w:t xml:space="preserve"> року</w:t>
      </w:r>
      <w:r w:rsidRPr="006D3B9D">
        <w:rPr>
          <w:sz w:val="25"/>
          <w:szCs w:val="25"/>
        </w:rPr>
        <w:t>);</w:t>
      </w:r>
    </w:p>
    <w:p w14:paraId="2BB6F69E" w14:textId="4219E746" w:rsidR="003D3E60" w:rsidRPr="006D3B9D" w:rsidRDefault="003D3E60" w:rsidP="003D3E60">
      <w:pPr>
        <w:pStyle w:val="a9"/>
        <w:shd w:val="clear" w:color="auto" w:fill="FFFFFF"/>
        <w:tabs>
          <w:tab w:val="left" w:pos="426"/>
        </w:tabs>
        <w:spacing w:after="200" w:line="276" w:lineRule="auto"/>
        <w:ind w:left="502"/>
        <w:jc w:val="both"/>
        <w:rPr>
          <w:sz w:val="25"/>
          <w:szCs w:val="25"/>
        </w:rPr>
      </w:pPr>
      <w:r w:rsidRPr="006D3B9D">
        <w:rPr>
          <w:sz w:val="25"/>
          <w:szCs w:val="25"/>
        </w:rPr>
        <w:t>-</w:t>
      </w:r>
      <w:r w:rsidR="009D5209" w:rsidRPr="006D3B9D">
        <w:rPr>
          <w:sz w:val="25"/>
          <w:szCs w:val="25"/>
        </w:rPr>
        <w:t xml:space="preserve"> </w:t>
      </w:r>
      <w:r w:rsidRPr="006D3B9D">
        <w:rPr>
          <w:sz w:val="25"/>
          <w:szCs w:val="25"/>
        </w:rPr>
        <w:t>«BAJAJ DOMINA D 400» 2021 року випуску, вартістю 127</w:t>
      </w:r>
      <w:r w:rsidR="00592FB5" w:rsidRPr="006D3B9D">
        <w:rPr>
          <w:sz w:val="25"/>
          <w:szCs w:val="25"/>
        </w:rPr>
        <w:t> </w:t>
      </w:r>
      <w:r w:rsidRPr="006D3B9D">
        <w:rPr>
          <w:sz w:val="25"/>
          <w:szCs w:val="25"/>
        </w:rPr>
        <w:t>071 грн (дата набуття права</w:t>
      </w:r>
      <w:r w:rsidR="009D5209" w:rsidRPr="006D3B9D">
        <w:rPr>
          <w:sz w:val="25"/>
          <w:szCs w:val="25"/>
        </w:rPr>
        <w:t xml:space="preserve"> – </w:t>
      </w:r>
      <w:r w:rsidRPr="006D3B9D">
        <w:rPr>
          <w:sz w:val="25"/>
          <w:szCs w:val="25"/>
        </w:rPr>
        <w:t xml:space="preserve"> 15</w:t>
      </w:r>
      <w:r w:rsidR="00592FB5" w:rsidRPr="006D3B9D">
        <w:rPr>
          <w:sz w:val="25"/>
          <w:szCs w:val="25"/>
        </w:rPr>
        <w:t xml:space="preserve"> травня </w:t>
      </w:r>
      <w:r w:rsidRPr="006D3B9D">
        <w:rPr>
          <w:sz w:val="25"/>
          <w:szCs w:val="25"/>
        </w:rPr>
        <w:t>2021</w:t>
      </w:r>
      <w:r w:rsidR="00592FB5" w:rsidRPr="006D3B9D">
        <w:rPr>
          <w:sz w:val="25"/>
          <w:szCs w:val="25"/>
        </w:rPr>
        <w:t xml:space="preserve"> року</w:t>
      </w:r>
      <w:r w:rsidRPr="006D3B9D">
        <w:rPr>
          <w:sz w:val="25"/>
          <w:szCs w:val="25"/>
        </w:rPr>
        <w:t>).</w:t>
      </w:r>
    </w:p>
    <w:p w14:paraId="294035E7" w14:textId="7D8FF28F" w:rsidR="003D3E60" w:rsidRPr="006D3B9D" w:rsidRDefault="003D3E60"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Загальна вартість придбаного рухомого майна становить 625</w:t>
      </w:r>
      <w:r w:rsidR="00592FB5" w:rsidRPr="006D3B9D">
        <w:rPr>
          <w:sz w:val="25"/>
          <w:szCs w:val="25"/>
        </w:rPr>
        <w:t> </w:t>
      </w:r>
      <w:r w:rsidRPr="006D3B9D">
        <w:rPr>
          <w:sz w:val="25"/>
          <w:szCs w:val="25"/>
        </w:rPr>
        <w:t>355 гривень.</w:t>
      </w:r>
    </w:p>
    <w:p w14:paraId="6C98D5BC" w14:textId="492099F2" w:rsidR="003D3E60" w:rsidRPr="006D3B9D" w:rsidRDefault="003D3E60"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Крім того, у грудні 2021 року кандидатка разом із чоловіком здійснили туристичну подорож за кордон (</w:t>
      </w:r>
      <w:r w:rsidR="00095213" w:rsidRPr="006D3B9D">
        <w:rPr>
          <w:sz w:val="25"/>
          <w:szCs w:val="25"/>
        </w:rPr>
        <w:t xml:space="preserve">м. </w:t>
      </w:r>
      <w:r w:rsidRPr="006D3B9D">
        <w:rPr>
          <w:sz w:val="25"/>
          <w:szCs w:val="25"/>
        </w:rPr>
        <w:t xml:space="preserve">Дубай — </w:t>
      </w:r>
      <w:r w:rsidR="00095213" w:rsidRPr="006D3B9D">
        <w:rPr>
          <w:sz w:val="25"/>
          <w:szCs w:val="25"/>
        </w:rPr>
        <w:t xml:space="preserve">м. </w:t>
      </w:r>
      <w:r w:rsidRPr="006D3B9D">
        <w:rPr>
          <w:sz w:val="25"/>
          <w:szCs w:val="25"/>
        </w:rPr>
        <w:t>Шарм-ель-Шейх)</w:t>
      </w:r>
      <w:r w:rsidR="003A06EF" w:rsidRPr="006D3B9D">
        <w:rPr>
          <w:sz w:val="25"/>
          <w:szCs w:val="25"/>
        </w:rPr>
        <w:t>.</w:t>
      </w:r>
      <w:r w:rsidRPr="006D3B9D">
        <w:rPr>
          <w:sz w:val="25"/>
          <w:szCs w:val="25"/>
        </w:rPr>
        <w:t xml:space="preserve"> 06</w:t>
      </w:r>
      <w:r w:rsidR="00592FB5" w:rsidRPr="006D3B9D">
        <w:rPr>
          <w:sz w:val="25"/>
          <w:szCs w:val="25"/>
        </w:rPr>
        <w:t xml:space="preserve"> грудня </w:t>
      </w:r>
      <w:r w:rsidRPr="006D3B9D">
        <w:rPr>
          <w:sz w:val="25"/>
          <w:szCs w:val="25"/>
        </w:rPr>
        <w:t>2021</w:t>
      </w:r>
      <w:r w:rsidR="00592FB5" w:rsidRPr="006D3B9D">
        <w:rPr>
          <w:sz w:val="25"/>
          <w:szCs w:val="25"/>
        </w:rPr>
        <w:t xml:space="preserve"> року</w:t>
      </w:r>
      <w:r w:rsidRPr="006D3B9D">
        <w:rPr>
          <w:sz w:val="25"/>
          <w:szCs w:val="25"/>
        </w:rPr>
        <w:t xml:space="preserve"> </w:t>
      </w:r>
      <w:r w:rsidR="003A06EF" w:rsidRPr="006D3B9D">
        <w:rPr>
          <w:sz w:val="25"/>
          <w:szCs w:val="25"/>
        </w:rPr>
        <w:t>подружжя</w:t>
      </w:r>
      <w:r w:rsidRPr="006D3B9D">
        <w:rPr>
          <w:sz w:val="25"/>
          <w:szCs w:val="25"/>
        </w:rPr>
        <w:t xml:space="preserve"> виїхал</w:t>
      </w:r>
      <w:r w:rsidR="009D5209" w:rsidRPr="006D3B9D">
        <w:rPr>
          <w:sz w:val="25"/>
          <w:szCs w:val="25"/>
        </w:rPr>
        <w:t>о</w:t>
      </w:r>
      <w:r w:rsidRPr="006D3B9D">
        <w:rPr>
          <w:sz w:val="25"/>
          <w:szCs w:val="25"/>
        </w:rPr>
        <w:t xml:space="preserve"> авіасполученням з </w:t>
      </w:r>
      <w:r w:rsidR="003A06EF" w:rsidRPr="006D3B9D">
        <w:rPr>
          <w:sz w:val="25"/>
          <w:szCs w:val="25"/>
        </w:rPr>
        <w:t xml:space="preserve">м. </w:t>
      </w:r>
      <w:r w:rsidRPr="006D3B9D">
        <w:rPr>
          <w:sz w:val="25"/>
          <w:szCs w:val="25"/>
        </w:rPr>
        <w:t xml:space="preserve">Києва до </w:t>
      </w:r>
      <w:r w:rsidR="003A06EF" w:rsidRPr="006D3B9D">
        <w:rPr>
          <w:sz w:val="25"/>
          <w:szCs w:val="25"/>
        </w:rPr>
        <w:t xml:space="preserve">м. </w:t>
      </w:r>
      <w:r w:rsidRPr="006D3B9D">
        <w:rPr>
          <w:sz w:val="25"/>
          <w:szCs w:val="25"/>
        </w:rPr>
        <w:t>Дуба</w:t>
      </w:r>
      <w:r w:rsidR="003A06EF" w:rsidRPr="006D3B9D">
        <w:rPr>
          <w:sz w:val="25"/>
          <w:szCs w:val="25"/>
        </w:rPr>
        <w:t>й</w:t>
      </w:r>
      <w:r w:rsidRPr="006D3B9D">
        <w:rPr>
          <w:sz w:val="25"/>
          <w:szCs w:val="25"/>
        </w:rPr>
        <w:t>, а 14</w:t>
      </w:r>
      <w:r w:rsidR="00592FB5" w:rsidRPr="006D3B9D">
        <w:rPr>
          <w:sz w:val="25"/>
          <w:szCs w:val="25"/>
        </w:rPr>
        <w:t xml:space="preserve"> грудня </w:t>
      </w:r>
      <w:r w:rsidRPr="006D3B9D">
        <w:rPr>
          <w:sz w:val="25"/>
          <w:szCs w:val="25"/>
        </w:rPr>
        <w:t>2021</w:t>
      </w:r>
      <w:r w:rsidR="00592FB5" w:rsidRPr="006D3B9D">
        <w:rPr>
          <w:sz w:val="25"/>
          <w:szCs w:val="25"/>
        </w:rPr>
        <w:t xml:space="preserve"> року</w:t>
      </w:r>
      <w:r w:rsidRPr="006D3B9D">
        <w:rPr>
          <w:sz w:val="25"/>
          <w:szCs w:val="25"/>
        </w:rPr>
        <w:t xml:space="preserve"> повернулися з </w:t>
      </w:r>
      <w:r w:rsidR="003A06EF" w:rsidRPr="006D3B9D">
        <w:rPr>
          <w:sz w:val="25"/>
          <w:szCs w:val="25"/>
        </w:rPr>
        <w:t xml:space="preserve">м. </w:t>
      </w:r>
      <w:r w:rsidRPr="006D3B9D">
        <w:rPr>
          <w:sz w:val="25"/>
          <w:szCs w:val="25"/>
        </w:rPr>
        <w:t xml:space="preserve">Шарм-ель-Шейх до </w:t>
      </w:r>
      <w:r w:rsidR="003A06EF" w:rsidRPr="006D3B9D">
        <w:rPr>
          <w:sz w:val="25"/>
          <w:szCs w:val="25"/>
        </w:rPr>
        <w:t xml:space="preserve">м. </w:t>
      </w:r>
      <w:r w:rsidRPr="006D3B9D">
        <w:rPr>
          <w:sz w:val="25"/>
          <w:szCs w:val="25"/>
        </w:rPr>
        <w:t>Києва.</w:t>
      </w:r>
    </w:p>
    <w:p w14:paraId="47F4B512" w14:textId="09210C0A" w:rsidR="003D3E60" w:rsidRPr="006D3B9D" w:rsidRDefault="009D5209"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Водночас</w:t>
      </w:r>
      <w:r w:rsidR="003D3E60" w:rsidRPr="006D3B9D">
        <w:rPr>
          <w:sz w:val="25"/>
          <w:szCs w:val="25"/>
        </w:rPr>
        <w:t xml:space="preserve">, аналіз офіційних доходів подружжя викликає сумнів у їх фінансовій можливості </w:t>
      </w:r>
      <w:r w:rsidR="00BA49D0" w:rsidRPr="006D3B9D">
        <w:rPr>
          <w:sz w:val="25"/>
          <w:szCs w:val="25"/>
        </w:rPr>
        <w:t xml:space="preserve">для </w:t>
      </w:r>
      <w:r w:rsidR="003D3E60" w:rsidRPr="006D3B9D">
        <w:rPr>
          <w:sz w:val="25"/>
          <w:szCs w:val="25"/>
        </w:rPr>
        <w:t>здійсн</w:t>
      </w:r>
      <w:r w:rsidR="00BA49D0" w:rsidRPr="006D3B9D">
        <w:rPr>
          <w:sz w:val="25"/>
          <w:szCs w:val="25"/>
        </w:rPr>
        <w:t>ення</w:t>
      </w:r>
      <w:r w:rsidR="003D3E60" w:rsidRPr="006D3B9D">
        <w:rPr>
          <w:sz w:val="25"/>
          <w:szCs w:val="25"/>
        </w:rPr>
        <w:t xml:space="preserve"> так</w:t>
      </w:r>
      <w:r w:rsidR="00BA49D0" w:rsidRPr="006D3B9D">
        <w:rPr>
          <w:sz w:val="25"/>
          <w:szCs w:val="25"/>
        </w:rPr>
        <w:t>их</w:t>
      </w:r>
      <w:r w:rsidR="003D3E60" w:rsidRPr="006D3B9D">
        <w:rPr>
          <w:sz w:val="25"/>
          <w:szCs w:val="25"/>
        </w:rPr>
        <w:t xml:space="preserve"> видатк</w:t>
      </w:r>
      <w:r w:rsidR="00BA49D0" w:rsidRPr="006D3B9D">
        <w:rPr>
          <w:sz w:val="25"/>
          <w:szCs w:val="25"/>
        </w:rPr>
        <w:t>ів</w:t>
      </w:r>
      <w:r w:rsidR="003D3E60" w:rsidRPr="006D3B9D">
        <w:rPr>
          <w:sz w:val="25"/>
          <w:szCs w:val="25"/>
        </w:rPr>
        <w:t xml:space="preserve"> за відсутності задекларованих джерел доходу або заощаджень. Відповідно до відомостей з ДРФО дохід кандидатки у 2021</w:t>
      </w:r>
      <w:r w:rsidR="006C7C31" w:rsidRPr="006D3B9D">
        <w:rPr>
          <w:sz w:val="25"/>
          <w:szCs w:val="25"/>
        </w:rPr>
        <w:t xml:space="preserve"> році</w:t>
      </w:r>
      <w:r w:rsidR="003D3E60" w:rsidRPr="006D3B9D">
        <w:rPr>
          <w:sz w:val="25"/>
          <w:szCs w:val="25"/>
        </w:rPr>
        <w:t xml:space="preserve"> становив 90</w:t>
      </w:r>
      <w:r w:rsidR="00592FB5" w:rsidRPr="006D3B9D">
        <w:rPr>
          <w:sz w:val="25"/>
          <w:szCs w:val="25"/>
        </w:rPr>
        <w:t> </w:t>
      </w:r>
      <w:r w:rsidR="003D3E60" w:rsidRPr="006D3B9D">
        <w:rPr>
          <w:sz w:val="25"/>
          <w:szCs w:val="25"/>
        </w:rPr>
        <w:t>000 грн, дохід її чоловіка — 52</w:t>
      </w:r>
      <w:r w:rsidR="00592FB5" w:rsidRPr="006D3B9D">
        <w:rPr>
          <w:sz w:val="25"/>
          <w:szCs w:val="25"/>
        </w:rPr>
        <w:t> </w:t>
      </w:r>
      <w:r w:rsidR="003D3E60" w:rsidRPr="006D3B9D">
        <w:rPr>
          <w:sz w:val="25"/>
          <w:szCs w:val="25"/>
        </w:rPr>
        <w:t>071 грн (за період 2020</w:t>
      </w:r>
      <w:r w:rsidRPr="006D3B9D">
        <w:rPr>
          <w:sz w:val="25"/>
          <w:szCs w:val="25"/>
        </w:rPr>
        <w:t xml:space="preserve">– </w:t>
      </w:r>
      <w:r w:rsidR="003D3E60" w:rsidRPr="006D3B9D">
        <w:rPr>
          <w:sz w:val="25"/>
          <w:szCs w:val="25"/>
        </w:rPr>
        <w:t>2021 рок</w:t>
      </w:r>
      <w:r w:rsidRPr="006D3B9D">
        <w:rPr>
          <w:sz w:val="25"/>
          <w:szCs w:val="25"/>
        </w:rPr>
        <w:t>ів</w:t>
      </w:r>
      <w:r w:rsidR="003D3E60" w:rsidRPr="006D3B9D">
        <w:rPr>
          <w:sz w:val="25"/>
          <w:szCs w:val="25"/>
        </w:rPr>
        <w:t xml:space="preserve"> — 142</w:t>
      </w:r>
      <w:r w:rsidR="00592FB5" w:rsidRPr="006D3B9D">
        <w:rPr>
          <w:sz w:val="25"/>
          <w:szCs w:val="25"/>
        </w:rPr>
        <w:t> </w:t>
      </w:r>
      <w:r w:rsidR="003D3E60" w:rsidRPr="006D3B9D">
        <w:rPr>
          <w:sz w:val="25"/>
          <w:szCs w:val="25"/>
        </w:rPr>
        <w:t xml:space="preserve">071 грн), з 2008 року до 2020 року </w:t>
      </w:r>
      <w:r w:rsidRPr="006D3B9D">
        <w:rPr>
          <w:sz w:val="25"/>
          <w:szCs w:val="25"/>
        </w:rPr>
        <w:t>в</w:t>
      </w:r>
      <w:r w:rsidR="003D3E60" w:rsidRPr="006D3B9D">
        <w:rPr>
          <w:sz w:val="25"/>
          <w:szCs w:val="25"/>
        </w:rPr>
        <w:t xml:space="preserve"> чоловіка кандидатки відсутні офіційні доходи. Дохід кандидатки у 2019 році становив 359</w:t>
      </w:r>
      <w:r w:rsidR="00592FB5" w:rsidRPr="006D3B9D">
        <w:rPr>
          <w:sz w:val="25"/>
          <w:szCs w:val="25"/>
        </w:rPr>
        <w:t> </w:t>
      </w:r>
      <w:r w:rsidR="003D3E60" w:rsidRPr="006D3B9D">
        <w:rPr>
          <w:sz w:val="25"/>
          <w:szCs w:val="25"/>
        </w:rPr>
        <w:t>721,29 грн, а у 2020</w:t>
      </w:r>
      <w:r w:rsidR="00592FB5" w:rsidRPr="006D3B9D">
        <w:rPr>
          <w:sz w:val="25"/>
          <w:szCs w:val="25"/>
        </w:rPr>
        <w:t> </w:t>
      </w:r>
      <w:r w:rsidR="003D3E60" w:rsidRPr="006D3B9D">
        <w:rPr>
          <w:sz w:val="25"/>
          <w:szCs w:val="25"/>
        </w:rPr>
        <w:t>році — 600</w:t>
      </w:r>
      <w:r w:rsidR="00592FB5" w:rsidRPr="006D3B9D">
        <w:rPr>
          <w:sz w:val="25"/>
          <w:szCs w:val="25"/>
        </w:rPr>
        <w:t> </w:t>
      </w:r>
      <w:r w:rsidR="003D3E60" w:rsidRPr="006D3B9D">
        <w:rPr>
          <w:sz w:val="25"/>
          <w:szCs w:val="25"/>
        </w:rPr>
        <w:t>000 грн. У попередні роки доходи були незначним.</w:t>
      </w:r>
    </w:p>
    <w:p w14:paraId="045C1B37" w14:textId="6DCFA3B4" w:rsidR="003D3E60" w:rsidRPr="006D3B9D" w:rsidRDefault="003D3E60"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 огляду на </w:t>
      </w:r>
      <w:r w:rsidR="006E2E7F" w:rsidRPr="006D3B9D">
        <w:rPr>
          <w:sz w:val="25"/>
          <w:szCs w:val="25"/>
        </w:rPr>
        <w:t>вказане</w:t>
      </w:r>
      <w:r w:rsidR="009D5209" w:rsidRPr="006D3B9D">
        <w:rPr>
          <w:sz w:val="25"/>
          <w:szCs w:val="25"/>
        </w:rPr>
        <w:t xml:space="preserve"> в</w:t>
      </w:r>
      <w:r w:rsidR="006E2E7F" w:rsidRPr="006D3B9D">
        <w:rPr>
          <w:sz w:val="25"/>
          <w:szCs w:val="25"/>
        </w:rPr>
        <w:t xml:space="preserve"> ГРД </w:t>
      </w:r>
      <w:r w:rsidRPr="006D3B9D">
        <w:rPr>
          <w:sz w:val="25"/>
          <w:szCs w:val="25"/>
        </w:rPr>
        <w:t xml:space="preserve">наявні підстави </w:t>
      </w:r>
      <w:r w:rsidR="003A06EF" w:rsidRPr="006D3B9D">
        <w:rPr>
          <w:sz w:val="25"/>
          <w:szCs w:val="25"/>
        </w:rPr>
        <w:t>для сумніву</w:t>
      </w:r>
      <w:r w:rsidRPr="006D3B9D">
        <w:rPr>
          <w:sz w:val="25"/>
          <w:szCs w:val="25"/>
        </w:rPr>
        <w:t xml:space="preserve"> </w:t>
      </w:r>
      <w:r w:rsidR="009D5209" w:rsidRPr="006D3B9D">
        <w:rPr>
          <w:sz w:val="25"/>
          <w:szCs w:val="25"/>
        </w:rPr>
        <w:t>в</w:t>
      </w:r>
      <w:r w:rsidRPr="006D3B9D">
        <w:rPr>
          <w:sz w:val="25"/>
          <w:szCs w:val="25"/>
        </w:rPr>
        <w:t xml:space="preserve"> походженні коштів </w:t>
      </w:r>
      <w:r w:rsidR="00095213" w:rsidRPr="006D3B9D">
        <w:rPr>
          <w:sz w:val="25"/>
          <w:szCs w:val="25"/>
        </w:rPr>
        <w:t>для здійснення видатків</w:t>
      </w:r>
      <w:r w:rsidRPr="006D3B9D">
        <w:rPr>
          <w:sz w:val="25"/>
          <w:szCs w:val="25"/>
        </w:rPr>
        <w:t xml:space="preserve"> </w:t>
      </w:r>
      <w:r w:rsidR="005E2CA8" w:rsidRPr="006D3B9D">
        <w:rPr>
          <w:sz w:val="25"/>
          <w:szCs w:val="25"/>
        </w:rPr>
        <w:t xml:space="preserve">родиною кандидатки </w:t>
      </w:r>
      <w:r w:rsidRPr="006D3B9D">
        <w:rPr>
          <w:sz w:val="25"/>
          <w:szCs w:val="25"/>
        </w:rPr>
        <w:t>у 2021 році.</w:t>
      </w:r>
    </w:p>
    <w:p w14:paraId="7A2A8275" w14:textId="4AE59FCE" w:rsidR="003D3E60" w:rsidRPr="006D3B9D" w:rsidRDefault="009D5209"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w:t>
      </w:r>
      <w:r w:rsidR="003D3E60" w:rsidRPr="006D3B9D">
        <w:rPr>
          <w:sz w:val="25"/>
          <w:szCs w:val="25"/>
        </w:rPr>
        <w:t>ідповідно до деклараці</w:t>
      </w:r>
      <w:r w:rsidR="006C7C31" w:rsidRPr="006D3B9D">
        <w:rPr>
          <w:sz w:val="25"/>
          <w:szCs w:val="25"/>
        </w:rPr>
        <w:t>ї</w:t>
      </w:r>
      <w:r w:rsidR="003D3E60" w:rsidRPr="006D3B9D">
        <w:rPr>
          <w:sz w:val="25"/>
          <w:szCs w:val="25"/>
        </w:rPr>
        <w:t xml:space="preserve"> </w:t>
      </w:r>
      <w:r w:rsidR="00095213" w:rsidRPr="006D3B9D">
        <w:rPr>
          <w:sz w:val="25"/>
          <w:szCs w:val="25"/>
        </w:rPr>
        <w:t xml:space="preserve">кандидатки </w:t>
      </w:r>
      <w:r w:rsidR="003D3E60" w:rsidRPr="006D3B9D">
        <w:rPr>
          <w:sz w:val="25"/>
          <w:szCs w:val="25"/>
        </w:rPr>
        <w:t xml:space="preserve">за 2016 рік її чоловік отримав дохід від зайняття підприємницькою діяльністю </w:t>
      </w:r>
      <w:r w:rsidRPr="006D3B9D">
        <w:rPr>
          <w:sz w:val="25"/>
          <w:szCs w:val="25"/>
        </w:rPr>
        <w:t>в</w:t>
      </w:r>
      <w:r w:rsidR="003D3E60" w:rsidRPr="006D3B9D">
        <w:rPr>
          <w:sz w:val="25"/>
          <w:szCs w:val="25"/>
        </w:rPr>
        <w:t xml:space="preserve"> розмірі 75</w:t>
      </w:r>
      <w:r w:rsidR="003A06EF" w:rsidRPr="006D3B9D">
        <w:rPr>
          <w:sz w:val="25"/>
          <w:szCs w:val="25"/>
        </w:rPr>
        <w:t> </w:t>
      </w:r>
      <w:r w:rsidR="003D3E60" w:rsidRPr="006D3B9D">
        <w:rPr>
          <w:sz w:val="25"/>
          <w:szCs w:val="25"/>
        </w:rPr>
        <w:t xml:space="preserve">000 грн. </w:t>
      </w:r>
      <w:r w:rsidRPr="006D3B9D">
        <w:rPr>
          <w:sz w:val="25"/>
          <w:szCs w:val="25"/>
        </w:rPr>
        <w:t>Згідно з</w:t>
      </w:r>
      <w:r w:rsidR="006C7C31" w:rsidRPr="006D3B9D">
        <w:rPr>
          <w:sz w:val="25"/>
          <w:szCs w:val="25"/>
        </w:rPr>
        <w:t xml:space="preserve"> відомост</w:t>
      </w:r>
      <w:r w:rsidRPr="006D3B9D">
        <w:rPr>
          <w:sz w:val="25"/>
          <w:szCs w:val="25"/>
        </w:rPr>
        <w:t>ями</w:t>
      </w:r>
      <w:r w:rsidR="003D3E60" w:rsidRPr="006D3B9D">
        <w:rPr>
          <w:sz w:val="25"/>
          <w:szCs w:val="25"/>
        </w:rPr>
        <w:t xml:space="preserve"> ДРФО у 2016</w:t>
      </w:r>
      <w:r w:rsidR="006C7C31" w:rsidRPr="006D3B9D">
        <w:rPr>
          <w:sz w:val="25"/>
          <w:szCs w:val="25"/>
        </w:rPr>
        <w:t> </w:t>
      </w:r>
      <w:r w:rsidR="003D3E60" w:rsidRPr="006D3B9D">
        <w:rPr>
          <w:sz w:val="25"/>
          <w:szCs w:val="25"/>
        </w:rPr>
        <w:t xml:space="preserve">році </w:t>
      </w:r>
      <w:r w:rsidRPr="006D3B9D">
        <w:rPr>
          <w:sz w:val="25"/>
          <w:szCs w:val="25"/>
        </w:rPr>
        <w:t>в</w:t>
      </w:r>
      <w:r w:rsidR="003D3E60" w:rsidRPr="006D3B9D">
        <w:rPr>
          <w:sz w:val="25"/>
          <w:szCs w:val="25"/>
        </w:rPr>
        <w:t xml:space="preserve"> </w:t>
      </w:r>
      <w:r w:rsidR="009E6B54">
        <w:rPr>
          <w:sz w:val="25"/>
          <w:szCs w:val="25"/>
        </w:rPr>
        <w:t>ОСОБА_3</w:t>
      </w:r>
      <w:r w:rsidR="003D3E60" w:rsidRPr="006D3B9D">
        <w:rPr>
          <w:sz w:val="25"/>
          <w:szCs w:val="25"/>
        </w:rPr>
        <w:t xml:space="preserve"> відсутні доходи, а дохід кандидатки </w:t>
      </w:r>
      <w:r w:rsidR="00095213" w:rsidRPr="006D3B9D">
        <w:rPr>
          <w:sz w:val="25"/>
          <w:szCs w:val="25"/>
        </w:rPr>
        <w:t xml:space="preserve">у 2016 році </w:t>
      </w:r>
      <w:r w:rsidR="003D3E60" w:rsidRPr="006D3B9D">
        <w:rPr>
          <w:sz w:val="25"/>
          <w:szCs w:val="25"/>
        </w:rPr>
        <w:t>становив 15</w:t>
      </w:r>
      <w:r w:rsidR="00095213" w:rsidRPr="006D3B9D">
        <w:rPr>
          <w:sz w:val="25"/>
          <w:szCs w:val="25"/>
        </w:rPr>
        <w:t> </w:t>
      </w:r>
      <w:r w:rsidR="003D3E60" w:rsidRPr="006D3B9D">
        <w:rPr>
          <w:sz w:val="25"/>
          <w:szCs w:val="25"/>
        </w:rPr>
        <w:t>000</w:t>
      </w:r>
      <w:r w:rsidR="00095213" w:rsidRPr="006D3B9D">
        <w:rPr>
          <w:sz w:val="25"/>
          <w:szCs w:val="25"/>
        </w:rPr>
        <w:t> </w:t>
      </w:r>
      <w:r w:rsidR="003D3E60" w:rsidRPr="006D3B9D">
        <w:rPr>
          <w:sz w:val="25"/>
          <w:szCs w:val="25"/>
        </w:rPr>
        <w:t xml:space="preserve">грн, проте </w:t>
      </w:r>
      <w:r w:rsidRPr="006D3B9D">
        <w:rPr>
          <w:sz w:val="25"/>
          <w:szCs w:val="25"/>
        </w:rPr>
        <w:t>в</w:t>
      </w:r>
      <w:r w:rsidR="003D3E60" w:rsidRPr="006D3B9D">
        <w:rPr>
          <w:sz w:val="25"/>
          <w:szCs w:val="25"/>
        </w:rPr>
        <w:t xml:space="preserve"> декларації відомості про такий дохід відсутні.</w:t>
      </w:r>
    </w:p>
    <w:p w14:paraId="5536A143" w14:textId="179BABA0" w:rsidR="003D3E60" w:rsidRPr="006D3B9D" w:rsidRDefault="006C7C31"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Згідно з</w:t>
      </w:r>
      <w:r w:rsidR="003D3E60" w:rsidRPr="006D3B9D">
        <w:rPr>
          <w:sz w:val="25"/>
          <w:szCs w:val="25"/>
        </w:rPr>
        <w:t xml:space="preserve"> відомост</w:t>
      </w:r>
      <w:r w:rsidRPr="006D3B9D">
        <w:rPr>
          <w:sz w:val="25"/>
          <w:szCs w:val="25"/>
        </w:rPr>
        <w:t>ями</w:t>
      </w:r>
      <w:r w:rsidR="003D3E60" w:rsidRPr="006D3B9D">
        <w:rPr>
          <w:sz w:val="25"/>
          <w:szCs w:val="25"/>
        </w:rPr>
        <w:t xml:space="preserve"> ДРФО у 2018 році кандидатка отримала стипендію від </w:t>
      </w:r>
      <w:r w:rsidR="005E2CA8" w:rsidRPr="006D3B9D">
        <w:rPr>
          <w:sz w:val="25"/>
          <w:szCs w:val="25"/>
        </w:rPr>
        <w:t>Національної школи суддів України</w:t>
      </w:r>
      <w:r w:rsidR="009D5209" w:rsidRPr="006D3B9D">
        <w:rPr>
          <w:sz w:val="25"/>
          <w:szCs w:val="25"/>
        </w:rPr>
        <w:t xml:space="preserve"> (далі – НШСУ)</w:t>
      </w:r>
      <w:r w:rsidR="003D3E60" w:rsidRPr="006D3B9D">
        <w:rPr>
          <w:sz w:val="25"/>
          <w:szCs w:val="25"/>
        </w:rPr>
        <w:t xml:space="preserve"> </w:t>
      </w:r>
      <w:r w:rsidR="005E2CA8" w:rsidRPr="006D3B9D">
        <w:rPr>
          <w:sz w:val="25"/>
          <w:szCs w:val="25"/>
        </w:rPr>
        <w:t>в</w:t>
      </w:r>
      <w:r w:rsidR="003D3E60" w:rsidRPr="006D3B9D">
        <w:rPr>
          <w:sz w:val="25"/>
          <w:szCs w:val="25"/>
        </w:rPr>
        <w:t xml:space="preserve"> розмірі 32</w:t>
      </w:r>
      <w:r w:rsidR="003A06EF" w:rsidRPr="006D3B9D">
        <w:rPr>
          <w:sz w:val="25"/>
          <w:szCs w:val="25"/>
        </w:rPr>
        <w:t> </w:t>
      </w:r>
      <w:r w:rsidR="003D3E60" w:rsidRPr="006D3B9D">
        <w:rPr>
          <w:sz w:val="25"/>
          <w:szCs w:val="25"/>
        </w:rPr>
        <w:t>874,19 гр</w:t>
      </w:r>
      <w:r w:rsidR="009D5209" w:rsidRPr="006D3B9D">
        <w:rPr>
          <w:sz w:val="25"/>
          <w:szCs w:val="25"/>
        </w:rPr>
        <w:t>н</w:t>
      </w:r>
      <w:r w:rsidR="003D3E60" w:rsidRPr="006D3B9D">
        <w:rPr>
          <w:sz w:val="25"/>
          <w:szCs w:val="25"/>
        </w:rPr>
        <w:t xml:space="preserve">, </w:t>
      </w:r>
      <w:r w:rsidR="005E2CA8" w:rsidRPr="006D3B9D">
        <w:rPr>
          <w:sz w:val="25"/>
          <w:szCs w:val="25"/>
        </w:rPr>
        <w:t xml:space="preserve">проте </w:t>
      </w:r>
      <w:r w:rsidR="003D3E60" w:rsidRPr="006D3B9D">
        <w:rPr>
          <w:sz w:val="25"/>
          <w:szCs w:val="25"/>
        </w:rPr>
        <w:t>у декларації за 2018</w:t>
      </w:r>
      <w:r w:rsidR="00095213" w:rsidRPr="006D3B9D">
        <w:rPr>
          <w:sz w:val="25"/>
          <w:szCs w:val="25"/>
        </w:rPr>
        <w:t> </w:t>
      </w:r>
      <w:r w:rsidR="003D3E60" w:rsidRPr="006D3B9D">
        <w:rPr>
          <w:sz w:val="25"/>
          <w:szCs w:val="25"/>
        </w:rPr>
        <w:t xml:space="preserve">рік </w:t>
      </w:r>
      <w:r w:rsidR="005E2CA8" w:rsidRPr="006D3B9D">
        <w:rPr>
          <w:sz w:val="25"/>
          <w:szCs w:val="25"/>
        </w:rPr>
        <w:t xml:space="preserve">вказаний дохід </w:t>
      </w:r>
      <w:r w:rsidR="003D3E60" w:rsidRPr="006D3B9D">
        <w:rPr>
          <w:sz w:val="25"/>
          <w:szCs w:val="25"/>
        </w:rPr>
        <w:t xml:space="preserve">відображено </w:t>
      </w:r>
      <w:r w:rsidR="005E2CA8" w:rsidRPr="006D3B9D">
        <w:rPr>
          <w:sz w:val="25"/>
          <w:szCs w:val="25"/>
        </w:rPr>
        <w:t>в</w:t>
      </w:r>
      <w:r w:rsidR="003D3E60" w:rsidRPr="006D3B9D">
        <w:rPr>
          <w:sz w:val="25"/>
          <w:szCs w:val="25"/>
        </w:rPr>
        <w:t xml:space="preserve"> розмірі 26</w:t>
      </w:r>
      <w:r w:rsidR="003A06EF" w:rsidRPr="006D3B9D">
        <w:rPr>
          <w:sz w:val="25"/>
          <w:szCs w:val="25"/>
        </w:rPr>
        <w:t> </w:t>
      </w:r>
      <w:r w:rsidR="003D3E60" w:rsidRPr="006D3B9D">
        <w:rPr>
          <w:sz w:val="25"/>
          <w:szCs w:val="25"/>
        </w:rPr>
        <w:t>463 гривень.</w:t>
      </w:r>
    </w:p>
    <w:p w14:paraId="3CA617E4" w14:textId="6450B771" w:rsidR="003D3E60" w:rsidRPr="006D3B9D" w:rsidRDefault="009D5209" w:rsidP="003D3E6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w:t>
      </w:r>
      <w:r w:rsidR="005468D6" w:rsidRPr="006D3B9D">
        <w:rPr>
          <w:sz w:val="25"/>
          <w:szCs w:val="25"/>
        </w:rPr>
        <w:t xml:space="preserve">декларації за 2022 рік кандидатка зазначила заробітну плату чоловіка </w:t>
      </w:r>
      <w:r w:rsidRPr="006D3B9D">
        <w:rPr>
          <w:sz w:val="25"/>
          <w:szCs w:val="25"/>
        </w:rPr>
        <w:t>в</w:t>
      </w:r>
      <w:r w:rsidR="005468D6" w:rsidRPr="006D3B9D">
        <w:rPr>
          <w:sz w:val="25"/>
          <w:szCs w:val="25"/>
        </w:rPr>
        <w:t xml:space="preserve"> розмірі 80</w:t>
      </w:r>
      <w:r w:rsidR="003A06EF" w:rsidRPr="006D3B9D">
        <w:rPr>
          <w:sz w:val="25"/>
          <w:szCs w:val="25"/>
        </w:rPr>
        <w:t> </w:t>
      </w:r>
      <w:r w:rsidR="005468D6" w:rsidRPr="006D3B9D">
        <w:rPr>
          <w:sz w:val="25"/>
          <w:szCs w:val="25"/>
        </w:rPr>
        <w:t xml:space="preserve">400 грн, однак відповідно до відомостей з ДРФО у 2022 році </w:t>
      </w:r>
      <w:r w:rsidR="009E6B54">
        <w:rPr>
          <w:sz w:val="25"/>
          <w:szCs w:val="25"/>
        </w:rPr>
        <w:t>ОСОБА_3</w:t>
      </w:r>
      <w:r w:rsidR="005468D6" w:rsidRPr="006D3B9D">
        <w:rPr>
          <w:sz w:val="25"/>
          <w:szCs w:val="25"/>
        </w:rPr>
        <w:t xml:space="preserve"> отримав заробітну плату </w:t>
      </w:r>
      <w:r w:rsidRPr="006D3B9D">
        <w:rPr>
          <w:sz w:val="25"/>
          <w:szCs w:val="25"/>
        </w:rPr>
        <w:t>в</w:t>
      </w:r>
      <w:r w:rsidR="003A06EF" w:rsidRPr="006D3B9D">
        <w:rPr>
          <w:sz w:val="25"/>
          <w:szCs w:val="25"/>
        </w:rPr>
        <w:t xml:space="preserve"> розмірі </w:t>
      </w:r>
      <w:r w:rsidR="005468D6" w:rsidRPr="006D3B9D">
        <w:rPr>
          <w:sz w:val="25"/>
          <w:szCs w:val="25"/>
        </w:rPr>
        <w:t>58</w:t>
      </w:r>
      <w:r w:rsidR="003A06EF" w:rsidRPr="006D3B9D">
        <w:rPr>
          <w:sz w:val="25"/>
          <w:szCs w:val="25"/>
        </w:rPr>
        <w:t> </w:t>
      </w:r>
      <w:r w:rsidR="005468D6" w:rsidRPr="006D3B9D">
        <w:rPr>
          <w:sz w:val="25"/>
          <w:szCs w:val="25"/>
        </w:rPr>
        <w:t>811,2 гривень.</w:t>
      </w:r>
    </w:p>
    <w:p w14:paraId="5C258414" w14:textId="2F2AAED5" w:rsidR="007420CA" w:rsidRPr="006D3B9D" w:rsidRDefault="004B6013" w:rsidP="007420C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6D3B9D">
        <w:rPr>
          <w:sz w:val="25"/>
          <w:szCs w:val="25"/>
        </w:rPr>
        <w:t>Крім того</w:t>
      </w:r>
      <w:r w:rsidR="005268D7" w:rsidRPr="006D3B9D">
        <w:rPr>
          <w:sz w:val="25"/>
          <w:szCs w:val="25"/>
        </w:rPr>
        <w:t xml:space="preserve">, </w:t>
      </w:r>
      <w:r w:rsidR="004A0BDC" w:rsidRPr="006D3B9D">
        <w:rPr>
          <w:sz w:val="25"/>
          <w:szCs w:val="25"/>
        </w:rPr>
        <w:t xml:space="preserve">членом Комісії – доповідачем </w:t>
      </w:r>
      <w:r w:rsidR="005468D6" w:rsidRPr="006D3B9D">
        <w:rPr>
          <w:sz w:val="25"/>
          <w:szCs w:val="25"/>
        </w:rPr>
        <w:t>17</w:t>
      </w:r>
      <w:r w:rsidR="004A0BDC" w:rsidRPr="006D3B9D">
        <w:rPr>
          <w:sz w:val="25"/>
          <w:szCs w:val="25"/>
        </w:rPr>
        <w:t xml:space="preserve"> </w:t>
      </w:r>
      <w:r w:rsidR="004539D2" w:rsidRPr="006D3B9D">
        <w:rPr>
          <w:sz w:val="25"/>
          <w:szCs w:val="25"/>
        </w:rPr>
        <w:t>липня</w:t>
      </w:r>
      <w:r w:rsidR="004A0BDC" w:rsidRPr="006D3B9D">
        <w:rPr>
          <w:sz w:val="25"/>
          <w:szCs w:val="25"/>
        </w:rPr>
        <w:t xml:space="preserve"> 2025 року</w:t>
      </w:r>
      <w:r w:rsidR="00E826E9" w:rsidRPr="006D3B9D">
        <w:rPr>
          <w:sz w:val="25"/>
          <w:szCs w:val="25"/>
        </w:rPr>
        <w:t xml:space="preserve"> надіслано кандид</w:t>
      </w:r>
      <w:r w:rsidR="004A0BDC" w:rsidRPr="006D3B9D">
        <w:rPr>
          <w:sz w:val="25"/>
          <w:szCs w:val="25"/>
        </w:rPr>
        <w:t>ату</w:t>
      </w:r>
      <w:r w:rsidR="00E826E9" w:rsidRPr="006D3B9D">
        <w:rPr>
          <w:sz w:val="25"/>
          <w:szCs w:val="25"/>
        </w:rPr>
        <w:t xml:space="preserve"> електронну копію </w:t>
      </w:r>
      <w:r w:rsidR="002B6F96" w:rsidRPr="006D3B9D">
        <w:rPr>
          <w:sz w:val="25"/>
          <w:szCs w:val="25"/>
        </w:rPr>
        <w:t>висновку</w:t>
      </w:r>
      <w:r w:rsidR="004539D2" w:rsidRPr="006D3B9D">
        <w:rPr>
          <w:sz w:val="25"/>
          <w:szCs w:val="25"/>
        </w:rPr>
        <w:t xml:space="preserve"> </w:t>
      </w:r>
      <w:r w:rsidR="009D5209" w:rsidRPr="006D3B9D">
        <w:rPr>
          <w:sz w:val="25"/>
          <w:szCs w:val="25"/>
        </w:rPr>
        <w:t>ГРД</w:t>
      </w:r>
      <w:r w:rsidR="004539D2" w:rsidRPr="006D3B9D">
        <w:rPr>
          <w:sz w:val="25"/>
          <w:szCs w:val="25"/>
        </w:rPr>
        <w:t xml:space="preserve"> </w:t>
      </w:r>
      <w:r w:rsidR="00E826E9" w:rsidRPr="006D3B9D">
        <w:rPr>
          <w:sz w:val="25"/>
          <w:szCs w:val="25"/>
        </w:rPr>
        <w:t>для</w:t>
      </w:r>
      <w:r w:rsidRPr="006D3B9D">
        <w:rPr>
          <w:sz w:val="25"/>
          <w:szCs w:val="25"/>
        </w:rPr>
        <w:t xml:space="preserve"> своєчасно</w:t>
      </w:r>
      <w:r w:rsidR="00E826E9" w:rsidRPr="006D3B9D">
        <w:rPr>
          <w:sz w:val="25"/>
          <w:szCs w:val="25"/>
        </w:rPr>
        <w:t>го</w:t>
      </w:r>
      <w:r w:rsidRPr="006D3B9D">
        <w:rPr>
          <w:sz w:val="25"/>
          <w:szCs w:val="25"/>
        </w:rPr>
        <w:t xml:space="preserve"> ознайомленн</w:t>
      </w:r>
      <w:r w:rsidR="00E826E9" w:rsidRPr="006D3B9D">
        <w:rPr>
          <w:sz w:val="25"/>
          <w:szCs w:val="25"/>
        </w:rPr>
        <w:t>я</w:t>
      </w:r>
      <w:r w:rsidRPr="006D3B9D">
        <w:rPr>
          <w:sz w:val="25"/>
          <w:szCs w:val="25"/>
        </w:rPr>
        <w:t xml:space="preserve"> і нада</w:t>
      </w:r>
      <w:r w:rsidR="00E826E9" w:rsidRPr="006D3B9D">
        <w:rPr>
          <w:sz w:val="25"/>
          <w:szCs w:val="25"/>
        </w:rPr>
        <w:t>ння</w:t>
      </w:r>
      <w:r w:rsidRPr="006D3B9D">
        <w:rPr>
          <w:sz w:val="25"/>
          <w:szCs w:val="25"/>
        </w:rPr>
        <w:t xml:space="preserve"> пояснен</w:t>
      </w:r>
      <w:r w:rsidR="00E826E9" w:rsidRPr="006D3B9D">
        <w:rPr>
          <w:sz w:val="25"/>
          <w:szCs w:val="25"/>
        </w:rPr>
        <w:t>ь</w:t>
      </w:r>
      <w:r w:rsidRPr="006D3B9D">
        <w:rPr>
          <w:sz w:val="25"/>
          <w:szCs w:val="25"/>
        </w:rPr>
        <w:t xml:space="preserve"> </w:t>
      </w:r>
      <w:r w:rsidR="009D5209" w:rsidRPr="006D3B9D">
        <w:rPr>
          <w:sz w:val="25"/>
          <w:szCs w:val="25"/>
        </w:rPr>
        <w:t>і</w:t>
      </w:r>
      <w:r w:rsidR="006C7C31" w:rsidRPr="006D3B9D">
        <w:rPr>
          <w:sz w:val="25"/>
          <w:szCs w:val="25"/>
        </w:rPr>
        <w:t>з</w:t>
      </w:r>
      <w:r w:rsidRPr="006D3B9D">
        <w:rPr>
          <w:sz w:val="25"/>
          <w:szCs w:val="25"/>
        </w:rPr>
        <w:t xml:space="preserve"> копі</w:t>
      </w:r>
      <w:r w:rsidR="006C7C31" w:rsidRPr="006D3B9D">
        <w:rPr>
          <w:sz w:val="25"/>
          <w:szCs w:val="25"/>
        </w:rPr>
        <w:t>ями</w:t>
      </w:r>
      <w:r w:rsidRPr="006D3B9D">
        <w:rPr>
          <w:sz w:val="25"/>
          <w:szCs w:val="25"/>
        </w:rPr>
        <w:t xml:space="preserve"> підтверджу</w:t>
      </w:r>
      <w:r w:rsidR="00E826E9" w:rsidRPr="006D3B9D">
        <w:rPr>
          <w:sz w:val="25"/>
          <w:szCs w:val="25"/>
        </w:rPr>
        <w:t>вальних</w:t>
      </w:r>
      <w:r w:rsidRPr="006D3B9D">
        <w:rPr>
          <w:sz w:val="25"/>
          <w:szCs w:val="25"/>
        </w:rPr>
        <w:t xml:space="preserve"> документів </w:t>
      </w:r>
      <w:r w:rsidR="009D5209" w:rsidRPr="006D3B9D">
        <w:rPr>
          <w:sz w:val="25"/>
          <w:szCs w:val="25"/>
        </w:rPr>
        <w:t>(</w:t>
      </w:r>
      <w:r w:rsidRPr="006D3B9D">
        <w:rPr>
          <w:sz w:val="25"/>
          <w:szCs w:val="25"/>
        </w:rPr>
        <w:t>за наявності</w:t>
      </w:r>
      <w:r w:rsidR="009D5209" w:rsidRPr="006D3B9D">
        <w:rPr>
          <w:sz w:val="25"/>
          <w:szCs w:val="25"/>
        </w:rPr>
        <w:t>)</w:t>
      </w:r>
      <w:r w:rsidR="007420CA" w:rsidRPr="006D3B9D">
        <w:rPr>
          <w:sz w:val="25"/>
          <w:szCs w:val="25"/>
        </w:rPr>
        <w:t xml:space="preserve"> та запит стосовно надання інформації та підтверджувальних документів про дохід від зайняття підприємницькою діяльністю </w:t>
      </w:r>
      <w:r w:rsidR="009D5209" w:rsidRPr="006D3B9D">
        <w:rPr>
          <w:sz w:val="25"/>
          <w:szCs w:val="25"/>
        </w:rPr>
        <w:t>в</w:t>
      </w:r>
      <w:r w:rsidR="007420CA" w:rsidRPr="006D3B9D">
        <w:rPr>
          <w:sz w:val="25"/>
          <w:szCs w:val="25"/>
        </w:rPr>
        <w:t xml:space="preserve"> розмірі 950 000 грн, відображений у декларації за 2024 рік.</w:t>
      </w:r>
    </w:p>
    <w:p w14:paraId="62CE5105" w14:textId="38DBA058" w:rsidR="007420CA" w:rsidRPr="006D3B9D" w:rsidRDefault="009D5209" w:rsidP="007420C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6D3B9D">
        <w:rPr>
          <w:sz w:val="25"/>
          <w:szCs w:val="25"/>
        </w:rPr>
        <w:t>Д</w:t>
      </w:r>
      <w:r w:rsidR="007420CA" w:rsidRPr="006D3B9D">
        <w:rPr>
          <w:sz w:val="25"/>
          <w:szCs w:val="25"/>
        </w:rPr>
        <w:t xml:space="preserve">о Комісії </w:t>
      </w:r>
      <w:r w:rsidRPr="006D3B9D">
        <w:rPr>
          <w:sz w:val="25"/>
          <w:szCs w:val="25"/>
        </w:rPr>
        <w:t xml:space="preserve">23 липня 2025 року </w:t>
      </w:r>
      <w:r w:rsidR="007420CA" w:rsidRPr="006D3B9D">
        <w:rPr>
          <w:sz w:val="25"/>
          <w:szCs w:val="25"/>
        </w:rPr>
        <w:t xml:space="preserve">надійшли пояснення від </w:t>
      </w:r>
      <w:proofErr w:type="spellStart"/>
      <w:r w:rsidR="007420CA" w:rsidRPr="006D3B9D">
        <w:rPr>
          <w:sz w:val="25"/>
          <w:szCs w:val="25"/>
        </w:rPr>
        <w:t>Косогор</w:t>
      </w:r>
      <w:proofErr w:type="spellEnd"/>
      <w:r w:rsidR="007420CA" w:rsidRPr="006D3B9D">
        <w:rPr>
          <w:sz w:val="25"/>
          <w:szCs w:val="25"/>
        </w:rPr>
        <w:t xml:space="preserve"> О.М. на запит члена Комісії стосовно податкової декларації за 2024 рік.</w:t>
      </w:r>
    </w:p>
    <w:p w14:paraId="4C37A2EE" w14:textId="4BC73320" w:rsidR="007420CA" w:rsidRPr="006D3B9D" w:rsidRDefault="009D5209" w:rsidP="007420C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6D3B9D">
        <w:rPr>
          <w:sz w:val="25"/>
          <w:szCs w:val="25"/>
        </w:rPr>
        <w:t>Д</w:t>
      </w:r>
      <w:r w:rsidR="007420CA" w:rsidRPr="006D3B9D">
        <w:rPr>
          <w:sz w:val="25"/>
          <w:szCs w:val="25"/>
        </w:rPr>
        <w:t>о Комісії</w:t>
      </w:r>
      <w:r w:rsidRPr="006D3B9D">
        <w:rPr>
          <w:sz w:val="25"/>
          <w:szCs w:val="25"/>
        </w:rPr>
        <w:t xml:space="preserve"> 24 липня 2025 року</w:t>
      </w:r>
      <w:r w:rsidR="007420CA" w:rsidRPr="006D3B9D">
        <w:rPr>
          <w:sz w:val="25"/>
          <w:szCs w:val="25"/>
        </w:rPr>
        <w:t xml:space="preserve"> від </w:t>
      </w:r>
      <w:proofErr w:type="spellStart"/>
      <w:r w:rsidR="007420CA" w:rsidRPr="006D3B9D">
        <w:rPr>
          <w:sz w:val="25"/>
          <w:szCs w:val="25"/>
        </w:rPr>
        <w:t>Косогор</w:t>
      </w:r>
      <w:proofErr w:type="spellEnd"/>
      <w:r w:rsidR="007420CA" w:rsidRPr="006D3B9D">
        <w:rPr>
          <w:sz w:val="25"/>
          <w:szCs w:val="25"/>
        </w:rPr>
        <w:t xml:space="preserve"> О.М. надійшли пояснення стосовно висновку ГРД.</w:t>
      </w:r>
    </w:p>
    <w:p w14:paraId="7D68D155" w14:textId="20071EDC" w:rsidR="00634882" w:rsidRPr="006D3B9D" w:rsidRDefault="004B6013" w:rsidP="007420CA">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6D3B9D">
        <w:rPr>
          <w:sz w:val="25"/>
          <w:szCs w:val="25"/>
        </w:rPr>
        <w:t>Кандидат</w:t>
      </w:r>
      <w:r w:rsidR="004A0BDC" w:rsidRPr="006D3B9D">
        <w:rPr>
          <w:sz w:val="25"/>
          <w:szCs w:val="25"/>
        </w:rPr>
        <w:t>у</w:t>
      </w:r>
      <w:r w:rsidRPr="006D3B9D">
        <w:rPr>
          <w:sz w:val="25"/>
          <w:szCs w:val="25"/>
        </w:rPr>
        <w:t xml:space="preserve"> </w:t>
      </w:r>
      <w:r w:rsidR="00E826E9" w:rsidRPr="006D3B9D">
        <w:rPr>
          <w:sz w:val="25"/>
          <w:szCs w:val="25"/>
        </w:rPr>
        <w:t>надано</w:t>
      </w:r>
      <w:r w:rsidRPr="006D3B9D">
        <w:rPr>
          <w:sz w:val="25"/>
          <w:szCs w:val="25"/>
        </w:rPr>
        <w:t xml:space="preserve"> можливість ознайомитись із </w:t>
      </w:r>
      <w:r w:rsidR="00B1393F" w:rsidRPr="006D3B9D">
        <w:rPr>
          <w:sz w:val="25"/>
          <w:szCs w:val="25"/>
        </w:rPr>
        <w:t>досьє кандидата на посаду судді.</w:t>
      </w:r>
    </w:p>
    <w:p w14:paraId="5A6F2C68" w14:textId="6DEA8A5C" w:rsidR="004C61FC" w:rsidRPr="006D3B9D" w:rsidRDefault="00B1393F" w:rsidP="004C61F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Співбесіду з кандидат</w:t>
      </w:r>
      <w:r w:rsidR="002156C6" w:rsidRPr="006D3B9D">
        <w:rPr>
          <w:sz w:val="25"/>
          <w:szCs w:val="25"/>
        </w:rPr>
        <w:t>ом</w:t>
      </w:r>
      <w:r w:rsidRPr="006D3B9D">
        <w:rPr>
          <w:sz w:val="25"/>
          <w:szCs w:val="25"/>
        </w:rPr>
        <w:t xml:space="preserve"> проведено </w:t>
      </w:r>
      <w:r w:rsidR="00F04726" w:rsidRPr="006D3B9D">
        <w:rPr>
          <w:sz w:val="25"/>
          <w:szCs w:val="25"/>
        </w:rPr>
        <w:t xml:space="preserve">24 липня 2025 року. </w:t>
      </w:r>
      <w:r w:rsidR="00D4057C" w:rsidRPr="006D3B9D">
        <w:rPr>
          <w:sz w:val="25"/>
          <w:szCs w:val="25"/>
        </w:rPr>
        <w:t xml:space="preserve">На початку співбесіди </w:t>
      </w:r>
      <w:proofErr w:type="spellStart"/>
      <w:r w:rsidR="00D4057C" w:rsidRPr="006D3B9D">
        <w:rPr>
          <w:sz w:val="25"/>
          <w:szCs w:val="25"/>
        </w:rPr>
        <w:t>Косогор</w:t>
      </w:r>
      <w:proofErr w:type="spellEnd"/>
      <w:r w:rsidR="00D4057C" w:rsidRPr="006D3B9D">
        <w:rPr>
          <w:sz w:val="25"/>
          <w:szCs w:val="25"/>
        </w:rPr>
        <w:t xml:space="preserve"> О.М. ознайомлено з її правами. Встановлено відсутність обставин, що перешкоджають проведенню співбесіди. Кандидату також запропоновано надавати уточню</w:t>
      </w:r>
      <w:r w:rsidR="009D5209" w:rsidRPr="006D3B9D">
        <w:rPr>
          <w:sz w:val="25"/>
          <w:szCs w:val="25"/>
        </w:rPr>
        <w:t>вальну</w:t>
      </w:r>
      <w:r w:rsidR="00D4057C" w:rsidRPr="006D3B9D">
        <w:rPr>
          <w:sz w:val="25"/>
          <w:szCs w:val="25"/>
        </w:rPr>
        <w:t xml:space="preserve"> інформацію </w:t>
      </w:r>
      <w:r w:rsidR="009D5209" w:rsidRPr="006D3B9D">
        <w:rPr>
          <w:sz w:val="25"/>
          <w:szCs w:val="25"/>
        </w:rPr>
        <w:t>в</w:t>
      </w:r>
      <w:r w:rsidR="00D4057C" w:rsidRPr="006D3B9D">
        <w:rPr>
          <w:sz w:val="25"/>
          <w:szCs w:val="25"/>
        </w:rPr>
        <w:t xml:space="preserve"> разі виявлення </w:t>
      </w:r>
      <w:proofErr w:type="spellStart"/>
      <w:r w:rsidR="00D4057C" w:rsidRPr="006D3B9D">
        <w:rPr>
          <w:sz w:val="25"/>
          <w:szCs w:val="25"/>
        </w:rPr>
        <w:t>неточностей</w:t>
      </w:r>
      <w:proofErr w:type="spellEnd"/>
      <w:r w:rsidR="00D4057C" w:rsidRPr="006D3B9D">
        <w:rPr>
          <w:sz w:val="25"/>
          <w:szCs w:val="25"/>
        </w:rPr>
        <w:t xml:space="preserve"> чи неповноти відомостей за результатами дослідження досьє. </w:t>
      </w:r>
      <w:r w:rsidR="00F04726" w:rsidRPr="006D3B9D">
        <w:rPr>
          <w:sz w:val="25"/>
          <w:szCs w:val="25"/>
        </w:rPr>
        <w:t>Під час співбесіди послідовно обговорен</w:t>
      </w:r>
      <w:r w:rsidR="002100A4" w:rsidRPr="006D3B9D">
        <w:rPr>
          <w:sz w:val="25"/>
          <w:szCs w:val="25"/>
        </w:rPr>
        <w:t>о</w:t>
      </w:r>
      <w:r w:rsidR="00F04726" w:rsidRPr="006D3B9D">
        <w:rPr>
          <w:sz w:val="25"/>
          <w:szCs w:val="25"/>
        </w:rPr>
        <w:t xml:space="preserve"> показники особистої та соціальної компетентності</w:t>
      </w:r>
      <w:r w:rsidR="009D5209" w:rsidRPr="006D3B9D">
        <w:rPr>
          <w:sz w:val="25"/>
          <w:szCs w:val="25"/>
        </w:rPr>
        <w:t>.</w:t>
      </w:r>
      <w:r w:rsidR="00F04726" w:rsidRPr="006D3B9D">
        <w:rPr>
          <w:sz w:val="25"/>
          <w:szCs w:val="25"/>
        </w:rPr>
        <w:t xml:space="preserve"> З метою ознайомлення з письмовим</w:t>
      </w:r>
      <w:r w:rsidR="002100A4" w:rsidRPr="006D3B9D">
        <w:rPr>
          <w:sz w:val="25"/>
          <w:szCs w:val="25"/>
        </w:rPr>
        <w:t>и</w:t>
      </w:r>
      <w:r w:rsidR="00F04726" w:rsidRPr="006D3B9D">
        <w:rPr>
          <w:sz w:val="25"/>
          <w:szCs w:val="25"/>
        </w:rPr>
        <w:t xml:space="preserve"> поясненнями </w:t>
      </w:r>
      <w:proofErr w:type="spellStart"/>
      <w:r w:rsidR="00F04726" w:rsidRPr="006D3B9D">
        <w:rPr>
          <w:sz w:val="25"/>
          <w:szCs w:val="25"/>
        </w:rPr>
        <w:t>Косогор</w:t>
      </w:r>
      <w:proofErr w:type="spellEnd"/>
      <w:r w:rsidR="00F04726" w:rsidRPr="006D3B9D">
        <w:rPr>
          <w:sz w:val="25"/>
          <w:szCs w:val="25"/>
        </w:rPr>
        <w:t xml:space="preserve"> О.М.</w:t>
      </w:r>
      <w:r w:rsidR="006C7C31" w:rsidRPr="006D3B9D">
        <w:rPr>
          <w:sz w:val="25"/>
          <w:szCs w:val="25"/>
        </w:rPr>
        <w:t xml:space="preserve"> від 24 липня 2025 року </w:t>
      </w:r>
      <w:r w:rsidR="00F04726" w:rsidRPr="006D3B9D">
        <w:rPr>
          <w:sz w:val="25"/>
          <w:szCs w:val="25"/>
        </w:rPr>
        <w:t>стосовно висновку ГРД співбесіду відкладено до 07</w:t>
      </w:r>
      <w:r w:rsidR="006C7C31" w:rsidRPr="006D3B9D">
        <w:rPr>
          <w:sz w:val="25"/>
          <w:szCs w:val="25"/>
        </w:rPr>
        <w:t> </w:t>
      </w:r>
      <w:r w:rsidR="00F04726" w:rsidRPr="006D3B9D">
        <w:rPr>
          <w:sz w:val="25"/>
          <w:szCs w:val="25"/>
        </w:rPr>
        <w:t>серпня 2025 року.</w:t>
      </w:r>
    </w:p>
    <w:p w14:paraId="3470839E" w14:textId="285011AD" w:rsidR="004C61FC" w:rsidRPr="006D3B9D" w:rsidRDefault="002100A4" w:rsidP="004C61F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Д</w:t>
      </w:r>
      <w:r w:rsidR="004C61FC" w:rsidRPr="006D3B9D">
        <w:rPr>
          <w:sz w:val="25"/>
          <w:szCs w:val="25"/>
        </w:rPr>
        <w:t xml:space="preserve">о Комісії </w:t>
      </w:r>
      <w:r w:rsidRPr="006D3B9D">
        <w:rPr>
          <w:sz w:val="25"/>
          <w:szCs w:val="25"/>
        </w:rPr>
        <w:t xml:space="preserve">05 серпня 2025 року </w:t>
      </w:r>
      <w:r w:rsidR="004C61FC" w:rsidRPr="006D3B9D">
        <w:rPr>
          <w:sz w:val="25"/>
          <w:szCs w:val="25"/>
        </w:rPr>
        <w:t xml:space="preserve">надійшли </w:t>
      </w:r>
      <w:r w:rsidR="00F04726" w:rsidRPr="006D3B9D">
        <w:rPr>
          <w:sz w:val="25"/>
          <w:szCs w:val="25"/>
        </w:rPr>
        <w:t xml:space="preserve">додаткові </w:t>
      </w:r>
      <w:r w:rsidR="004C61FC" w:rsidRPr="006D3B9D">
        <w:rPr>
          <w:sz w:val="25"/>
          <w:szCs w:val="25"/>
        </w:rPr>
        <w:t xml:space="preserve">пояснення від </w:t>
      </w:r>
      <w:proofErr w:type="spellStart"/>
      <w:r w:rsidR="004C61FC" w:rsidRPr="006D3B9D">
        <w:rPr>
          <w:sz w:val="25"/>
          <w:szCs w:val="25"/>
        </w:rPr>
        <w:t>Косогор</w:t>
      </w:r>
      <w:proofErr w:type="spellEnd"/>
      <w:r w:rsidR="00F04726" w:rsidRPr="006D3B9D">
        <w:rPr>
          <w:sz w:val="25"/>
          <w:szCs w:val="25"/>
        </w:rPr>
        <w:t> </w:t>
      </w:r>
      <w:r w:rsidR="004C61FC" w:rsidRPr="006D3B9D">
        <w:rPr>
          <w:sz w:val="25"/>
          <w:szCs w:val="25"/>
        </w:rPr>
        <w:t>О.М. стосовно висновку ГРД.</w:t>
      </w:r>
    </w:p>
    <w:p w14:paraId="78F7A575" w14:textId="3481969E" w:rsidR="004C61FC" w:rsidRPr="006D3B9D" w:rsidRDefault="002100A4" w:rsidP="00F0472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Д</w:t>
      </w:r>
      <w:r w:rsidR="004C61FC" w:rsidRPr="006D3B9D">
        <w:rPr>
          <w:sz w:val="25"/>
          <w:szCs w:val="25"/>
        </w:rPr>
        <w:t>о Комісії</w:t>
      </w:r>
      <w:r w:rsidRPr="006D3B9D">
        <w:rPr>
          <w:sz w:val="25"/>
          <w:szCs w:val="25"/>
        </w:rPr>
        <w:t xml:space="preserve"> 06 серпня 2025 року</w:t>
      </w:r>
      <w:r w:rsidR="004C61FC" w:rsidRPr="006D3B9D">
        <w:rPr>
          <w:sz w:val="25"/>
          <w:szCs w:val="25"/>
        </w:rPr>
        <w:t xml:space="preserve"> надійшли </w:t>
      </w:r>
      <w:r w:rsidR="006C7C31" w:rsidRPr="006D3B9D">
        <w:rPr>
          <w:sz w:val="25"/>
          <w:szCs w:val="25"/>
        </w:rPr>
        <w:t xml:space="preserve">додаткові </w:t>
      </w:r>
      <w:r w:rsidR="004C61FC" w:rsidRPr="006D3B9D">
        <w:rPr>
          <w:sz w:val="25"/>
          <w:szCs w:val="25"/>
        </w:rPr>
        <w:t xml:space="preserve">пояснення від </w:t>
      </w:r>
      <w:proofErr w:type="spellStart"/>
      <w:r w:rsidR="004C61FC" w:rsidRPr="006D3B9D">
        <w:rPr>
          <w:sz w:val="25"/>
          <w:szCs w:val="25"/>
        </w:rPr>
        <w:t>Косогор</w:t>
      </w:r>
      <w:proofErr w:type="spellEnd"/>
      <w:r w:rsidR="006C7C31" w:rsidRPr="006D3B9D">
        <w:rPr>
          <w:sz w:val="25"/>
          <w:szCs w:val="25"/>
        </w:rPr>
        <w:t> </w:t>
      </w:r>
      <w:r w:rsidR="004C61FC" w:rsidRPr="006D3B9D">
        <w:rPr>
          <w:sz w:val="25"/>
          <w:szCs w:val="25"/>
        </w:rPr>
        <w:t xml:space="preserve">О.М. стосовно доходу від підприємницької діяльності </w:t>
      </w:r>
      <w:r w:rsidRPr="006D3B9D">
        <w:rPr>
          <w:sz w:val="25"/>
          <w:szCs w:val="25"/>
        </w:rPr>
        <w:t>в</w:t>
      </w:r>
      <w:r w:rsidR="004C61FC" w:rsidRPr="006D3B9D">
        <w:rPr>
          <w:sz w:val="25"/>
          <w:szCs w:val="25"/>
        </w:rPr>
        <w:t xml:space="preserve"> розмірі 950 00 грн.</w:t>
      </w:r>
    </w:p>
    <w:p w14:paraId="50D5DB67" w14:textId="77CD5418" w:rsidR="00B1393F" w:rsidRPr="006D3B9D" w:rsidRDefault="00F0472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Співбесіду з кандидатом проведено </w:t>
      </w:r>
      <w:r w:rsidR="00387D8E" w:rsidRPr="006D3B9D">
        <w:rPr>
          <w:sz w:val="25"/>
          <w:szCs w:val="25"/>
        </w:rPr>
        <w:t>07</w:t>
      </w:r>
      <w:r w:rsidR="00B1393F" w:rsidRPr="006D3B9D">
        <w:rPr>
          <w:sz w:val="25"/>
          <w:szCs w:val="25"/>
        </w:rPr>
        <w:t xml:space="preserve"> </w:t>
      </w:r>
      <w:r w:rsidR="00387D8E" w:rsidRPr="006D3B9D">
        <w:rPr>
          <w:sz w:val="25"/>
          <w:szCs w:val="25"/>
        </w:rPr>
        <w:t>серпня</w:t>
      </w:r>
      <w:r w:rsidR="00B1393F" w:rsidRPr="006D3B9D">
        <w:rPr>
          <w:sz w:val="25"/>
          <w:szCs w:val="25"/>
        </w:rPr>
        <w:t xml:space="preserve"> 2025 року. На початку співбесіди</w:t>
      </w:r>
      <w:r w:rsidR="00090F32" w:rsidRPr="006D3B9D">
        <w:rPr>
          <w:sz w:val="25"/>
          <w:szCs w:val="25"/>
        </w:rPr>
        <w:t xml:space="preserve"> </w:t>
      </w:r>
      <w:proofErr w:type="spellStart"/>
      <w:r w:rsidR="00D4057C" w:rsidRPr="006D3B9D">
        <w:rPr>
          <w:sz w:val="25"/>
          <w:szCs w:val="25"/>
        </w:rPr>
        <w:t>Косогор</w:t>
      </w:r>
      <w:proofErr w:type="spellEnd"/>
      <w:r w:rsidR="00090F32" w:rsidRPr="006D3B9D">
        <w:rPr>
          <w:sz w:val="25"/>
          <w:szCs w:val="25"/>
        </w:rPr>
        <w:t xml:space="preserve"> </w:t>
      </w:r>
      <w:r w:rsidR="00D4057C" w:rsidRPr="006D3B9D">
        <w:rPr>
          <w:sz w:val="25"/>
          <w:szCs w:val="25"/>
        </w:rPr>
        <w:t>О</w:t>
      </w:r>
      <w:r w:rsidR="00090F32" w:rsidRPr="006D3B9D">
        <w:rPr>
          <w:sz w:val="25"/>
          <w:szCs w:val="25"/>
        </w:rPr>
        <w:t>.</w:t>
      </w:r>
      <w:r w:rsidR="00D4057C" w:rsidRPr="006D3B9D">
        <w:rPr>
          <w:sz w:val="25"/>
          <w:szCs w:val="25"/>
        </w:rPr>
        <w:t>М</w:t>
      </w:r>
      <w:r w:rsidR="00090F32" w:rsidRPr="006D3B9D">
        <w:rPr>
          <w:sz w:val="25"/>
          <w:szCs w:val="25"/>
        </w:rPr>
        <w:t>.</w:t>
      </w:r>
      <w:r w:rsidR="00D57C0E" w:rsidRPr="006D3B9D">
        <w:rPr>
          <w:sz w:val="25"/>
          <w:szCs w:val="25"/>
        </w:rPr>
        <w:t xml:space="preserve"> </w:t>
      </w:r>
      <w:r w:rsidR="00B1393F" w:rsidRPr="006D3B9D">
        <w:rPr>
          <w:sz w:val="25"/>
          <w:szCs w:val="25"/>
        </w:rPr>
        <w:t xml:space="preserve">ознайомлено з </w:t>
      </w:r>
      <w:r w:rsidR="002100A4" w:rsidRPr="006D3B9D">
        <w:rPr>
          <w:sz w:val="25"/>
          <w:szCs w:val="25"/>
        </w:rPr>
        <w:t>її</w:t>
      </w:r>
      <w:r w:rsidR="00B1393F" w:rsidRPr="006D3B9D">
        <w:rPr>
          <w:sz w:val="25"/>
          <w:szCs w:val="25"/>
        </w:rPr>
        <w:t xml:space="preserve"> правами</w:t>
      </w:r>
      <w:r w:rsidR="00D57C0E" w:rsidRPr="006D3B9D">
        <w:rPr>
          <w:sz w:val="25"/>
          <w:szCs w:val="25"/>
        </w:rPr>
        <w:t>.</w:t>
      </w:r>
      <w:r w:rsidR="00B1393F" w:rsidRPr="006D3B9D">
        <w:rPr>
          <w:sz w:val="25"/>
          <w:szCs w:val="25"/>
        </w:rPr>
        <w:t xml:space="preserve"> </w:t>
      </w:r>
      <w:r w:rsidR="00D57C0E" w:rsidRPr="006D3B9D">
        <w:rPr>
          <w:sz w:val="25"/>
          <w:szCs w:val="25"/>
        </w:rPr>
        <w:t>В</w:t>
      </w:r>
      <w:r w:rsidR="00B1393F" w:rsidRPr="006D3B9D">
        <w:rPr>
          <w:sz w:val="25"/>
          <w:szCs w:val="25"/>
        </w:rPr>
        <w:t>становлено</w:t>
      </w:r>
      <w:r w:rsidR="00D57C0E" w:rsidRPr="006D3B9D">
        <w:rPr>
          <w:sz w:val="25"/>
          <w:szCs w:val="25"/>
        </w:rPr>
        <w:t xml:space="preserve"> </w:t>
      </w:r>
      <w:r w:rsidR="00B1393F" w:rsidRPr="006D3B9D">
        <w:rPr>
          <w:sz w:val="25"/>
          <w:szCs w:val="25"/>
        </w:rPr>
        <w:t>відсутні</w:t>
      </w:r>
      <w:r w:rsidR="00D57C0E" w:rsidRPr="006D3B9D">
        <w:rPr>
          <w:sz w:val="25"/>
          <w:szCs w:val="25"/>
        </w:rPr>
        <w:t xml:space="preserve">сть </w:t>
      </w:r>
      <w:r w:rsidR="00B1393F" w:rsidRPr="006D3B9D">
        <w:rPr>
          <w:sz w:val="25"/>
          <w:szCs w:val="25"/>
        </w:rPr>
        <w:t xml:space="preserve">обставин, </w:t>
      </w:r>
      <w:r w:rsidR="00FC1CBB" w:rsidRPr="006D3B9D">
        <w:rPr>
          <w:sz w:val="25"/>
          <w:szCs w:val="25"/>
        </w:rPr>
        <w:t>що</w:t>
      </w:r>
      <w:r w:rsidR="00B1393F" w:rsidRPr="006D3B9D">
        <w:rPr>
          <w:sz w:val="25"/>
          <w:szCs w:val="25"/>
        </w:rPr>
        <w:t xml:space="preserve"> перешкоджають проведенню співбесіди</w:t>
      </w:r>
      <w:r w:rsidR="00D25DD5" w:rsidRPr="006D3B9D">
        <w:rPr>
          <w:sz w:val="25"/>
          <w:szCs w:val="25"/>
        </w:rPr>
        <w:t>.</w:t>
      </w:r>
      <w:r w:rsidR="00B1393F" w:rsidRPr="006D3B9D">
        <w:rPr>
          <w:sz w:val="25"/>
          <w:szCs w:val="25"/>
        </w:rPr>
        <w:t xml:space="preserve"> Кандидат</w:t>
      </w:r>
      <w:r w:rsidR="002156C6" w:rsidRPr="006D3B9D">
        <w:rPr>
          <w:sz w:val="25"/>
          <w:szCs w:val="25"/>
        </w:rPr>
        <w:t>у</w:t>
      </w:r>
      <w:r w:rsidR="00B1393F" w:rsidRPr="006D3B9D">
        <w:rPr>
          <w:sz w:val="25"/>
          <w:szCs w:val="25"/>
        </w:rPr>
        <w:t xml:space="preserve"> також запропоновано нада</w:t>
      </w:r>
      <w:r w:rsidR="00D57C0E" w:rsidRPr="006D3B9D">
        <w:rPr>
          <w:sz w:val="25"/>
          <w:szCs w:val="25"/>
        </w:rPr>
        <w:t>ва</w:t>
      </w:r>
      <w:r w:rsidR="00B1393F" w:rsidRPr="006D3B9D">
        <w:rPr>
          <w:sz w:val="25"/>
          <w:szCs w:val="25"/>
        </w:rPr>
        <w:t>ти уточню</w:t>
      </w:r>
      <w:r w:rsidR="002100A4" w:rsidRPr="006D3B9D">
        <w:rPr>
          <w:sz w:val="25"/>
          <w:szCs w:val="25"/>
        </w:rPr>
        <w:t>вальну</w:t>
      </w:r>
      <w:r w:rsidR="00B1393F" w:rsidRPr="006D3B9D">
        <w:rPr>
          <w:sz w:val="25"/>
          <w:szCs w:val="25"/>
        </w:rPr>
        <w:t xml:space="preserve"> інформацію </w:t>
      </w:r>
      <w:r w:rsidR="002100A4" w:rsidRPr="006D3B9D">
        <w:rPr>
          <w:sz w:val="25"/>
          <w:szCs w:val="25"/>
        </w:rPr>
        <w:t>в</w:t>
      </w:r>
      <w:r w:rsidR="00B1393F" w:rsidRPr="006D3B9D">
        <w:rPr>
          <w:sz w:val="25"/>
          <w:szCs w:val="25"/>
        </w:rPr>
        <w:t xml:space="preserve"> разі виявлення </w:t>
      </w:r>
      <w:proofErr w:type="spellStart"/>
      <w:r w:rsidR="00B1393F" w:rsidRPr="006D3B9D">
        <w:rPr>
          <w:sz w:val="25"/>
          <w:szCs w:val="25"/>
        </w:rPr>
        <w:t>неточностей</w:t>
      </w:r>
      <w:proofErr w:type="spellEnd"/>
      <w:r w:rsidR="00B1393F" w:rsidRPr="006D3B9D">
        <w:rPr>
          <w:sz w:val="25"/>
          <w:szCs w:val="25"/>
        </w:rPr>
        <w:t xml:space="preserve"> чи неповноти відомостей за результатами дослідження досьє.</w:t>
      </w:r>
    </w:p>
    <w:p w14:paraId="70C20BE0" w14:textId="20D46447" w:rsidR="00C91411" w:rsidRPr="006D3B9D"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w:t>
      </w:r>
      <w:r w:rsidR="00E61797" w:rsidRPr="006D3B9D">
        <w:rPr>
          <w:sz w:val="25"/>
          <w:szCs w:val="25"/>
        </w:rPr>
        <w:t>і</w:t>
      </w:r>
      <w:r w:rsidR="002100A4" w:rsidRPr="006D3B9D">
        <w:rPr>
          <w:sz w:val="25"/>
          <w:szCs w:val="25"/>
        </w:rPr>
        <w:t>їв</w:t>
      </w:r>
      <w:r w:rsidRPr="006D3B9D">
        <w:rPr>
          <w:sz w:val="25"/>
          <w:szCs w:val="25"/>
        </w:rPr>
        <w:t xml:space="preserve"> доброчесності та професійної етики.</w:t>
      </w:r>
    </w:p>
    <w:p w14:paraId="7704C4A3" w14:textId="0AF5227B" w:rsidR="00D25DD5" w:rsidRPr="006D3B9D" w:rsidRDefault="00D25DD5" w:rsidP="00D25DD5">
      <w:pPr>
        <w:jc w:val="both"/>
        <w:rPr>
          <w:b/>
          <w:sz w:val="25"/>
          <w:szCs w:val="25"/>
        </w:rPr>
      </w:pPr>
      <w:r w:rsidRPr="006D3B9D">
        <w:rPr>
          <w:b/>
          <w:sz w:val="25"/>
          <w:szCs w:val="25"/>
        </w:rPr>
        <w:t xml:space="preserve">V-ІІ. Встановлення відповідності кандидата критерію </w:t>
      </w:r>
      <w:r w:rsidR="001462CF" w:rsidRPr="006D3B9D">
        <w:rPr>
          <w:b/>
          <w:sz w:val="25"/>
          <w:szCs w:val="25"/>
        </w:rPr>
        <w:t>особистої</w:t>
      </w:r>
      <w:r w:rsidRPr="006D3B9D">
        <w:rPr>
          <w:b/>
          <w:sz w:val="25"/>
          <w:szCs w:val="25"/>
        </w:rPr>
        <w:t xml:space="preserve"> компетентності. </w:t>
      </w:r>
    </w:p>
    <w:p w14:paraId="5BE61F1E" w14:textId="77777777" w:rsidR="00D25DD5" w:rsidRPr="006D3B9D" w:rsidRDefault="00D25DD5" w:rsidP="00D25DD5">
      <w:pPr>
        <w:jc w:val="both"/>
        <w:rPr>
          <w:b/>
          <w:sz w:val="25"/>
          <w:szCs w:val="25"/>
        </w:rPr>
      </w:pPr>
    </w:p>
    <w:p w14:paraId="3472ECAA" w14:textId="01A4439D" w:rsidR="00D25DD5" w:rsidRPr="006D3B9D" w:rsidRDefault="002100A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Згідно з</w:t>
      </w:r>
      <w:r w:rsidR="00D25DD5" w:rsidRPr="006D3B9D">
        <w:rPr>
          <w:sz w:val="25"/>
          <w:szCs w:val="25"/>
        </w:rPr>
        <w:t xml:space="preserve"> п</w:t>
      </w:r>
      <w:r w:rsidR="00D57C0E" w:rsidRPr="006D3B9D">
        <w:rPr>
          <w:sz w:val="25"/>
          <w:szCs w:val="25"/>
        </w:rPr>
        <w:t>ункт</w:t>
      </w:r>
      <w:r w:rsidRPr="006D3B9D">
        <w:rPr>
          <w:sz w:val="25"/>
          <w:szCs w:val="25"/>
        </w:rPr>
        <w:t>ами</w:t>
      </w:r>
      <w:r w:rsidR="00D25DD5" w:rsidRPr="006D3B9D">
        <w:rPr>
          <w:sz w:val="25"/>
          <w:szCs w:val="25"/>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w:t>
      </w:r>
      <w:r w:rsidR="00FC1CBB" w:rsidRPr="006D3B9D">
        <w:rPr>
          <w:sz w:val="25"/>
          <w:szCs w:val="25"/>
        </w:rPr>
        <w:t>що</w:t>
      </w:r>
      <w:r w:rsidR="00D25DD5" w:rsidRPr="006D3B9D">
        <w:rPr>
          <w:sz w:val="25"/>
          <w:szCs w:val="25"/>
        </w:rPr>
        <w:t xml:space="preserve"> визначають здатність кандидата діяти рішуче та </w:t>
      </w:r>
      <w:proofErr w:type="spellStart"/>
      <w:r w:rsidR="00D25DD5" w:rsidRPr="006D3B9D">
        <w:rPr>
          <w:sz w:val="25"/>
          <w:szCs w:val="25"/>
        </w:rPr>
        <w:t>відповідально</w:t>
      </w:r>
      <w:proofErr w:type="spellEnd"/>
      <w:r w:rsidR="00D25DD5" w:rsidRPr="006D3B9D">
        <w:rPr>
          <w:sz w:val="25"/>
          <w:szCs w:val="25"/>
        </w:rPr>
        <w:t xml:space="preserve">, самостійно, цілеспрямовано та </w:t>
      </w:r>
      <w:proofErr w:type="spellStart"/>
      <w:r w:rsidR="00D25DD5" w:rsidRPr="006D3B9D">
        <w:rPr>
          <w:sz w:val="25"/>
          <w:szCs w:val="25"/>
        </w:rPr>
        <w:t>стійко</w:t>
      </w:r>
      <w:proofErr w:type="spellEnd"/>
      <w:r w:rsidR="00D25DD5" w:rsidRPr="006D3B9D">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D3B9D"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62585727" w:rsidR="00D75069" w:rsidRPr="006D3B9D"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D3B9D">
        <w:rPr>
          <w:sz w:val="25"/>
          <w:szCs w:val="25"/>
        </w:rPr>
        <w:t>К</w:t>
      </w:r>
      <w:r w:rsidRPr="006D3B9D">
        <w:rPr>
          <w:sz w:val="25"/>
          <w:szCs w:val="25"/>
        </w:rPr>
        <w:t xml:space="preserve">андидат на посаду судді відповідає показнику рішучості, якщо вчасно приймає рішення, </w:t>
      </w:r>
      <w:r w:rsidR="002100A4" w:rsidRPr="006D3B9D">
        <w:rPr>
          <w:sz w:val="25"/>
          <w:szCs w:val="25"/>
        </w:rPr>
        <w:t>у</w:t>
      </w:r>
      <w:r w:rsidRPr="006D3B9D">
        <w:rPr>
          <w:sz w:val="25"/>
          <w:szCs w:val="25"/>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6D3B9D">
        <w:rPr>
          <w:sz w:val="25"/>
          <w:szCs w:val="25"/>
        </w:rPr>
        <w:t>,</w:t>
      </w:r>
      <w:r w:rsidRPr="006D3B9D">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D3B9D">
        <w:rPr>
          <w:sz w:val="25"/>
          <w:szCs w:val="25"/>
        </w:rPr>
        <w:t>К</w:t>
      </w:r>
      <w:r w:rsidRPr="006D3B9D">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6D3B9D">
        <w:rPr>
          <w:sz w:val="25"/>
          <w:szCs w:val="25"/>
        </w:rPr>
        <w:t>бере</w:t>
      </w:r>
      <w:r w:rsidRPr="006D3B9D">
        <w:rPr>
          <w:sz w:val="25"/>
          <w:szCs w:val="25"/>
        </w:rPr>
        <w:t xml:space="preserve"> повну особисту відповідальність за свої рішення та їх наслідки; у разі виникнення перешкод та ускладнень не шукає </w:t>
      </w:r>
      <w:r w:rsidRPr="006D3B9D">
        <w:rPr>
          <w:sz w:val="25"/>
          <w:szCs w:val="25"/>
        </w:rPr>
        <w:lastRenderedPageBreak/>
        <w:t>можливості перекласти відповідальність на інших або зняти з себе відповідальність, посилаючись на зовнішні обставини.</w:t>
      </w:r>
    </w:p>
    <w:p w14:paraId="0DC166BA" w14:textId="46C5E886" w:rsidR="00D75069" w:rsidRPr="006D3B9D"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Безперервний розвиток </w:t>
      </w:r>
      <w:r w:rsidR="005268D7" w:rsidRPr="006D3B9D">
        <w:rPr>
          <w:sz w:val="25"/>
          <w:szCs w:val="25"/>
        </w:rPr>
        <w:t>–</w:t>
      </w:r>
      <w:r w:rsidRPr="006D3B9D">
        <w:rPr>
          <w:sz w:val="25"/>
          <w:szCs w:val="25"/>
        </w:rPr>
        <w:t xml:space="preserve"> це свідомі та послідовні зусилля </w:t>
      </w:r>
      <w:r w:rsidR="003C2B46" w:rsidRPr="006D3B9D">
        <w:rPr>
          <w:sz w:val="25"/>
          <w:szCs w:val="25"/>
        </w:rPr>
        <w:t>к</w:t>
      </w:r>
      <w:r w:rsidRPr="006D3B9D">
        <w:rPr>
          <w:sz w:val="25"/>
          <w:szCs w:val="25"/>
        </w:rPr>
        <w:t xml:space="preserve">андидата на посаду судді щодо професійного саморозвитку. </w:t>
      </w:r>
      <w:r w:rsidR="003C2B46" w:rsidRPr="006D3B9D">
        <w:rPr>
          <w:sz w:val="25"/>
          <w:szCs w:val="25"/>
        </w:rPr>
        <w:t>К</w:t>
      </w:r>
      <w:r w:rsidRPr="006D3B9D">
        <w:rPr>
          <w:sz w:val="25"/>
          <w:szCs w:val="25"/>
        </w:rPr>
        <w:t xml:space="preserve">андидат на посаду судді відповідає показнику безперервного розвитку, якщо він </w:t>
      </w:r>
      <w:r w:rsidR="006D3B9D" w:rsidRPr="006D3B9D">
        <w:rPr>
          <w:sz w:val="25"/>
          <w:szCs w:val="25"/>
        </w:rPr>
        <w:t>об’єктивно</w:t>
      </w:r>
      <w:r w:rsidRPr="006D3B9D">
        <w:rPr>
          <w:sz w:val="25"/>
          <w:szCs w:val="25"/>
        </w:rPr>
        <w:t xml:space="preserve"> оцінює свої сильні сторони та зони розвитку; запитує та відкрито сприймає зворотний </w:t>
      </w:r>
      <w:r w:rsidR="00EF1B9B" w:rsidRPr="006D3B9D">
        <w:rPr>
          <w:sz w:val="25"/>
          <w:szCs w:val="25"/>
        </w:rPr>
        <w:t>зв’язок</w:t>
      </w:r>
      <w:r w:rsidRPr="006D3B9D">
        <w:rPr>
          <w:sz w:val="25"/>
          <w:szCs w:val="25"/>
        </w:rPr>
        <w:t xml:space="preserve">; виносить </w:t>
      </w:r>
      <w:proofErr w:type="spellStart"/>
      <w:r w:rsidRPr="006D3B9D">
        <w:rPr>
          <w:sz w:val="25"/>
          <w:szCs w:val="25"/>
        </w:rPr>
        <w:t>уроки</w:t>
      </w:r>
      <w:proofErr w:type="spellEnd"/>
      <w:r w:rsidRPr="006D3B9D">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D3B9D">
        <w:rPr>
          <w:sz w:val="25"/>
          <w:szCs w:val="25"/>
        </w:rPr>
        <w:t>проєктах</w:t>
      </w:r>
      <w:proofErr w:type="spellEnd"/>
      <w:r w:rsidRPr="006D3B9D">
        <w:rPr>
          <w:sz w:val="25"/>
          <w:szCs w:val="25"/>
        </w:rPr>
        <w:t xml:space="preserve"> юридичного спрямування, пише статті, колонки або блоги на правову тематику тощо.</w:t>
      </w:r>
    </w:p>
    <w:p w14:paraId="75BB5662" w14:textId="72145895" w:rsidR="00D75069" w:rsidRPr="006D3B9D"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Пунктом 5.5 Положення про кваліфікаційне оцінювання</w:t>
      </w:r>
      <w:r w:rsidR="00AE0242" w:rsidRPr="006D3B9D">
        <w:rPr>
          <w:sz w:val="25"/>
          <w:szCs w:val="25"/>
        </w:rPr>
        <w:t xml:space="preserve"> </w:t>
      </w:r>
      <w:r w:rsidR="005F4505" w:rsidRPr="006D3B9D">
        <w:rPr>
          <w:sz w:val="25"/>
          <w:szCs w:val="25"/>
        </w:rPr>
        <w:t>визначено</w:t>
      </w:r>
      <w:r w:rsidR="00AE0242" w:rsidRPr="006D3B9D">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6D3B9D">
        <w:rPr>
          <w:sz w:val="25"/>
          <w:szCs w:val="25"/>
        </w:rPr>
        <w:t>й</w:t>
      </w:r>
      <w:r w:rsidR="00AE0242" w:rsidRPr="006D3B9D">
        <w:rPr>
          <w:sz w:val="25"/>
          <w:szCs w:val="25"/>
        </w:rPr>
        <w:t xml:space="preserve"> за результатами </w:t>
      </w:r>
      <w:r w:rsidR="003C2B46" w:rsidRPr="006D3B9D">
        <w:rPr>
          <w:sz w:val="25"/>
          <w:szCs w:val="25"/>
        </w:rPr>
        <w:t>його</w:t>
      </w:r>
      <w:r w:rsidR="00AE0242" w:rsidRPr="006D3B9D">
        <w:rPr>
          <w:sz w:val="25"/>
          <w:szCs w:val="25"/>
        </w:rPr>
        <w:t xml:space="preserve"> оцінювання на етапі «Дослідження досьє та проведення співбесіди»</w:t>
      </w:r>
      <w:r w:rsidR="002100A4" w:rsidRPr="006D3B9D">
        <w:rPr>
          <w:sz w:val="25"/>
          <w:szCs w:val="25"/>
        </w:rPr>
        <w:t>.</w:t>
      </w:r>
    </w:p>
    <w:p w14:paraId="76A28A27" w14:textId="15FAF9B5" w:rsidR="00AE0242" w:rsidRPr="006D3B9D"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6D3B9D">
        <w:rPr>
          <w:sz w:val="25"/>
          <w:szCs w:val="25"/>
        </w:rPr>
        <w:t>‒</w:t>
      </w:r>
      <w:r w:rsidRPr="006D3B9D">
        <w:rPr>
          <w:sz w:val="25"/>
          <w:szCs w:val="25"/>
        </w:rPr>
        <w:t xml:space="preserve"> 50 балів, з яких:</w:t>
      </w:r>
      <w:bookmarkStart w:id="3" w:name="143"/>
      <w:bookmarkEnd w:id="3"/>
      <w:r w:rsidRPr="006D3B9D">
        <w:rPr>
          <w:sz w:val="25"/>
          <w:szCs w:val="25"/>
        </w:rPr>
        <w:t xml:space="preserve"> </w:t>
      </w:r>
      <w:r w:rsidR="00607B40" w:rsidRPr="006D3B9D">
        <w:rPr>
          <w:sz w:val="25"/>
          <w:szCs w:val="25"/>
        </w:rPr>
        <w:t>р</w:t>
      </w:r>
      <w:r w:rsidRPr="006D3B9D">
        <w:rPr>
          <w:sz w:val="25"/>
          <w:szCs w:val="25"/>
        </w:rPr>
        <w:t xml:space="preserve">ішучість та відповідальність </w:t>
      </w:r>
      <w:r w:rsidR="005F4505" w:rsidRPr="006D3B9D">
        <w:rPr>
          <w:sz w:val="25"/>
          <w:szCs w:val="25"/>
        </w:rPr>
        <w:t>‒</w:t>
      </w:r>
      <w:r w:rsidRPr="006D3B9D">
        <w:rPr>
          <w:sz w:val="25"/>
          <w:szCs w:val="25"/>
        </w:rPr>
        <w:t xml:space="preserve"> 25</w:t>
      </w:r>
      <w:r w:rsidR="00891FF6" w:rsidRPr="006D3B9D">
        <w:rPr>
          <w:sz w:val="25"/>
          <w:szCs w:val="25"/>
        </w:rPr>
        <w:t> </w:t>
      </w:r>
      <w:r w:rsidRPr="006D3B9D">
        <w:rPr>
          <w:sz w:val="25"/>
          <w:szCs w:val="25"/>
        </w:rPr>
        <w:t>балів</w:t>
      </w:r>
      <w:bookmarkStart w:id="4" w:name="144"/>
      <w:bookmarkEnd w:id="4"/>
      <w:r w:rsidRPr="006D3B9D">
        <w:rPr>
          <w:sz w:val="25"/>
          <w:szCs w:val="25"/>
        </w:rPr>
        <w:t xml:space="preserve">; безперервний розвиток </w:t>
      </w:r>
      <w:r w:rsidR="005F4505" w:rsidRPr="006D3B9D">
        <w:rPr>
          <w:sz w:val="25"/>
          <w:szCs w:val="25"/>
        </w:rPr>
        <w:t>‒</w:t>
      </w:r>
      <w:r w:rsidRPr="006D3B9D">
        <w:rPr>
          <w:sz w:val="25"/>
          <w:szCs w:val="25"/>
        </w:rPr>
        <w:t xml:space="preserve"> 25 балів.</w:t>
      </w:r>
      <w:bookmarkStart w:id="5" w:name="145"/>
      <w:bookmarkEnd w:id="5"/>
    </w:p>
    <w:p w14:paraId="7A7FAE20" w14:textId="19ECBB42" w:rsidR="00570CF2" w:rsidRPr="006D3B9D"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6D3B9D">
        <w:rPr>
          <w:sz w:val="25"/>
          <w:szCs w:val="25"/>
        </w:rPr>
        <w:t>об’єднані</w:t>
      </w:r>
      <w:r w:rsidRPr="006D3B9D">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6D3B9D">
        <w:rPr>
          <w:sz w:val="25"/>
          <w:szCs w:val="25"/>
        </w:rPr>
        <w:t xml:space="preserve">його </w:t>
      </w:r>
      <w:r w:rsidRPr="006D3B9D">
        <w:rPr>
          <w:sz w:val="25"/>
          <w:szCs w:val="25"/>
        </w:rPr>
        <w:t>відповідність встановленим критеріям.</w:t>
      </w:r>
    </w:p>
    <w:p w14:paraId="2653914D" w14:textId="3B87C4DE" w:rsidR="00570CF2" w:rsidRPr="006D3B9D"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Цей обов’язок охоплює не лише </w:t>
      </w:r>
      <w:r w:rsidR="00607B40" w:rsidRPr="006D3B9D">
        <w:rPr>
          <w:sz w:val="25"/>
          <w:szCs w:val="25"/>
        </w:rPr>
        <w:t xml:space="preserve">надання Комісії </w:t>
      </w:r>
      <w:r w:rsidRPr="006D3B9D">
        <w:rPr>
          <w:sz w:val="25"/>
          <w:szCs w:val="25"/>
        </w:rPr>
        <w:t>загальн</w:t>
      </w:r>
      <w:r w:rsidR="00607B40" w:rsidRPr="006D3B9D">
        <w:rPr>
          <w:sz w:val="25"/>
          <w:szCs w:val="25"/>
        </w:rPr>
        <w:t>их</w:t>
      </w:r>
      <w:r w:rsidRPr="006D3B9D">
        <w:rPr>
          <w:sz w:val="25"/>
          <w:szCs w:val="25"/>
        </w:rPr>
        <w:t xml:space="preserve"> біографічн</w:t>
      </w:r>
      <w:r w:rsidR="00607B40" w:rsidRPr="006D3B9D">
        <w:rPr>
          <w:sz w:val="25"/>
          <w:szCs w:val="25"/>
        </w:rPr>
        <w:t>их</w:t>
      </w:r>
      <w:r w:rsidRPr="006D3B9D">
        <w:rPr>
          <w:sz w:val="25"/>
          <w:szCs w:val="25"/>
        </w:rPr>
        <w:t xml:space="preserve"> чи майнов</w:t>
      </w:r>
      <w:r w:rsidR="00607B40" w:rsidRPr="006D3B9D">
        <w:rPr>
          <w:sz w:val="25"/>
          <w:szCs w:val="25"/>
        </w:rPr>
        <w:t>их</w:t>
      </w:r>
      <w:r w:rsidRPr="006D3B9D">
        <w:rPr>
          <w:sz w:val="25"/>
          <w:szCs w:val="25"/>
        </w:rPr>
        <w:t xml:space="preserve"> </w:t>
      </w:r>
      <w:r w:rsidR="00A1769D" w:rsidRPr="006D3B9D">
        <w:rPr>
          <w:sz w:val="25"/>
          <w:szCs w:val="25"/>
        </w:rPr>
        <w:t>даних</w:t>
      </w:r>
      <w:r w:rsidRPr="006D3B9D">
        <w:rPr>
          <w:sz w:val="25"/>
          <w:szCs w:val="25"/>
        </w:rPr>
        <w:t>, а</w:t>
      </w:r>
      <w:r w:rsidR="00607B40" w:rsidRPr="006D3B9D">
        <w:rPr>
          <w:sz w:val="25"/>
          <w:szCs w:val="25"/>
        </w:rPr>
        <w:t>ле</w:t>
      </w:r>
      <w:r w:rsidRPr="006D3B9D">
        <w:rPr>
          <w:sz w:val="25"/>
          <w:szCs w:val="25"/>
        </w:rPr>
        <w:t xml:space="preserve"> й відомост</w:t>
      </w:r>
      <w:r w:rsidR="00607B40" w:rsidRPr="006D3B9D">
        <w:rPr>
          <w:sz w:val="25"/>
          <w:szCs w:val="25"/>
        </w:rPr>
        <w:t>ей</w:t>
      </w:r>
      <w:r w:rsidRPr="006D3B9D">
        <w:rPr>
          <w:sz w:val="25"/>
          <w:szCs w:val="25"/>
        </w:rPr>
        <w:t>, які мають значення для оцінки особистої компетентност</w:t>
      </w:r>
      <w:r w:rsidR="00607B40" w:rsidRPr="006D3B9D">
        <w:rPr>
          <w:sz w:val="25"/>
          <w:szCs w:val="25"/>
        </w:rPr>
        <w:t>і</w:t>
      </w:r>
      <w:r w:rsidRPr="006D3B9D">
        <w:rPr>
          <w:sz w:val="25"/>
          <w:szCs w:val="25"/>
        </w:rPr>
        <w:t>.</w:t>
      </w:r>
    </w:p>
    <w:p w14:paraId="0F480C78" w14:textId="71A6DB5C" w:rsidR="00570CF2" w:rsidRPr="006D3B9D"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Таким чином, </w:t>
      </w:r>
      <w:r w:rsidR="00561C38" w:rsidRPr="006D3B9D">
        <w:rPr>
          <w:sz w:val="25"/>
          <w:szCs w:val="25"/>
        </w:rPr>
        <w:t>при оцін</w:t>
      </w:r>
      <w:r w:rsidR="00FC1CBB" w:rsidRPr="006D3B9D">
        <w:rPr>
          <w:sz w:val="25"/>
          <w:szCs w:val="25"/>
        </w:rPr>
        <w:t>юванні</w:t>
      </w:r>
      <w:r w:rsidR="00561C38" w:rsidRPr="006D3B9D">
        <w:rPr>
          <w:sz w:val="25"/>
          <w:szCs w:val="25"/>
        </w:rPr>
        <w:t xml:space="preserve"> </w:t>
      </w:r>
      <w:r w:rsidR="00607B40" w:rsidRPr="006D3B9D">
        <w:rPr>
          <w:sz w:val="25"/>
          <w:szCs w:val="25"/>
        </w:rPr>
        <w:t xml:space="preserve">особистої компетентності важлива роль відводиться </w:t>
      </w:r>
      <w:r w:rsidRPr="006D3B9D">
        <w:rPr>
          <w:sz w:val="25"/>
          <w:szCs w:val="25"/>
        </w:rPr>
        <w:t>активн</w:t>
      </w:r>
      <w:r w:rsidR="00607B40" w:rsidRPr="006D3B9D">
        <w:rPr>
          <w:sz w:val="25"/>
          <w:szCs w:val="25"/>
        </w:rPr>
        <w:t>ій</w:t>
      </w:r>
      <w:r w:rsidRPr="006D3B9D">
        <w:rPr>
          <w:sz w:val="25"/>
          <w:szCs w:val="25"/>
        </w:rPr>
        <w:t xml:space="preserve"> участі кандидата в підтвердженні </w:t>
      </w:r>
      <w:r w:rsidR="005F4505" w:rsidRPr="006D3B9D">
        <w:rPr>
          <w:sz w:val="25"/>
          <w:szCs w:val="25"/>
        </w:rPr>
        <w:t>своєї</w:t>
      </w:r>
      <w:r w:rsidRPr="006D3B9D">
        <w:rPr>
          <w:sz w:val="25"/>
          <w:szCs w:val="25"/>
        </w:rPr>
        <w:t xml:space="preserve"> відповідності встановленим </w:t>
      </w:r>
      <w:r w:rsidR="00607B40" w:rsidRPr="006D3B9D">
        <w:rPr>
          <w:sz w:val="25"/>
          <w:szCs w:val="25"/>
        </w:rPr>
        <w:t>показникам критерію</w:t>
      </w:r>
      <w:r w:rsidRPr="006D3B9D">
        <w:rPr>
          <w:sz w:val="25"/>
          <w:szCs w:val="25"/>
        </w:rPr>
        <w:t xml:space="preserve">. Пасивна позиція або </w:t>
      </w:r>
      <w:r w:rsidR="00607B40" w:rsidRPr="006D3B9D">
        <w:rPr>
          <w:sz w:val="25"/>
          <w:szCs w:val="25"/>
        </w:rPr>
        <w:t>надання</w:t>
      </w:r>
      <w:r w:rsidRPr="006D3B9D">
        <w:rPr>
          <w:sz w:val="25"/>
          <w:szCs w:val="25"/>
        </w:rPr>
        <w:t xml:space="preserve"> лише формальних відомостей без належного обґрунтування, саморефлексії та фахового змісту можуть </w:t>
      </w:r>
      <w:r w:rsidR="00607B40" w:rsidRPr="006D3B9D">
        <w:rPr>
          <w:sz w:val="25"/>
          <w:szCs w:val="25"/>
        </w:rPr>
        <w:t xml:space="preserve">негативно впливати на </w:t>
      </w:r>
      <w:r w:rsidRPr="006D3B9D">
        <w:rPr>
          <w:sz w:val="25"/>
          <w:szCs w:val="25"/>
        </w:rPr>
        <w:t>оціню</w:t>
      </w:r>
      <w:r w:rsidR="00607B40" w:rsidRPr="006D3B9D">
        <w:rPr>
          <w:sz w:val="25"/>
          <w:szCs w:val="25"/>
        </w:rPr>
        <w:t>вання</w:t>
      </w:r>
      <w:r w:rsidRPr="006D3B9D">
        <w:rPr>
          <w:sz w:val="25"/>
          <w:szCs w:val="25"/>
        </w:rPr>
        <w:t xml:space="preserve"> Комісією відповідно</w:t>
      </w:r>
      <w:r w:rsidR="00607B40" w:rsidRPr="006D3B9D">
        <w:rPr>
          <w:sz w:val="25"/>
          <w:szCs w:val="25"/>
        </w:rPr>
        <w:t>го критерію</w:t>
      </w:r>
      <w:r w:rsidRPr="006D3B9D">
        <w:rPr>
          <w:sz w:val="25"/>
          <w:szCs w:val="25"/>
        </w:rPr>
        <w:t>.</w:t>
      </w:r>
    </w:p>
    <w:p w14:paraId="5592B8F7" w14:textId="709AF5C3" w:rsidR="00F63BA2" w:rsidRPr="006D3B9D"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w:t>
      </w:r>
      <w:r w:rsidR="00F63BA2" w:rsidRPr="006D3B9D">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6D3B9D">
        <w:rPr>
          <w:sz w:val="25"/>
          <w:szCs w:val="25"/>
        </w:rPr>
        <w:t>ність</w:t>
      </w:r>
      <w:r w:rsidR="00F63BA2" w:rsidRPr="006D3B9D">
        <w:rPr>
          <w:sz w:val="25"/>
          <w:szCs w:val="25"/>
        </w:rPr>
        <w:t xml:space="preserve"> </w:t>
      </w:r>
      <w:r w:rsidR="00DF032B" w:rsidRPr="006D3B9D">
        <w:rPr>
          <w:sz w:val="25"/>
          <w:szCs w:val="25"/>
        </w:rPr>
        <w:t>кандидат</w:t>
      </w:r>
      <w:r w:rsidR="00FC1CBB" w:rsidRPr="006D3B9D">
        <w:rPr>
          <w:sz w:val="25"/>
          <w:szCs w:val="25"/>
        </w:rPr>
        <w:t>а</w:t>
      </w:r>
      <w:r w:rsidR="00DF032B" w:rsidRPr="006D3B9D">
        <w:rPr>
          <w:sz w:val="25"/>
          <w:szCs w:val="25"/>
        </w:rPr>
        <w:t xml:space="preserve"> </w:t>
      </w:r>
      <w:r w:rsidR="00F63BA2" w:rsidRPr="006D3B9D">
        <w:rPr>
          <w:sz w:val="25"/>
          <w:szCs w:val="25"/>
        </w:rPr>
        <w:t>до самостійного прийняття рішень у складних обставинах, готов</w:t>
      </w:r>
      <w:r w:rsidR="00FC1CBB" w:rsidRPr="006D3B9D">
        <w:rPr>
          <w:sz w:val="25"/>
          <w:szCs w:val="25"/>
        </w:rPr>
        <w:t>ність</w:t>
      </w:r>
      <w:r w:rsidR="00F63BA2" w:rsidRPr="006D3B9D">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6D3B9D">
        <w:rPr>
          <w:sz w:val="25"/>
          <w:szCs w:val="25"/>
        </w:rPr>
        <w:t xml:space="preserve">ним </w:t>
      </w:r>
      <w:r w:rsidR="00F63BA2" w:rsidRPr="006D3B9D">
        <w:rPr>
          <w:sz w:val="25"/>
          <w:szCs w:val="25"/>
        </w:rPr>
        <w:t xml:space="preserve">потреби </w:t>
      </w:r>
      <w:r w:rsidR="002100A4" w:rsidRPr="006D3B9D">
        <w:rPr>
          <w:sz w:val="25"/>
          <w:szCs w:val="25"/>
        </w:rPr>
        <w:t>в</w:t>
      </w:r>
      <w:r w:rsidR="00F63BA2" w:rsidRPr="006D3B9D">
        <w:rPr>
          <w:sz w:val="25"/>
          <w:szCs w:val="25"/>
        </w:rPr>
        <w:t xml:space="preserve"> постійному вдосконаленні знань, навичок і професійних якостей.</w:t>
      </w:r>
    </w:p>
    <w:p w14:paraId="30C18B68" w14:textId="6630CDE4" w:rsidR="00F63BA2" w:rsidRPr="006D3B9D"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6D3B9D">
        <w:rPr>
          <w:sz w:val="25"/>
          <w:szCs w:val="25"/>
        </w:rPr>
        <w:t>які</w:t>
      </w:r>
      <w:r w:rsidRPr="006D3B9D">
        <w:rPr>
          <w:sz w:val="25"/>
          <w:szCs w:val="25"/>
        </w:rPr>
        <w:t xml:space="preserve"> підтверджують відповідність показникам особистої компетентності. </w:t>
      </w:r>
    </w:p>
    <w:p w14:paraId="4193CBB6" w14:textId="77777777" w:rsidR="00D43B16" w:rsidRPr="006D3B9D" w:rsidRDefault="00F63BA2" w:rsidP="004D3F7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Саме </w:t>
      </w:r>
      <w:r w:rsidR="00E61797" w:rsidRPr="006D3B9D">
        <w:rPr>
          <w:sz w:val="25"/>
          <w:szCs w:val="25"/>
        </w:rPr>
        <w:t xml:space="preserve">під час </w:t>
      </w:r>
      <w:r w:rsidRPr="006D3B9D">
        <w:rPr>
          <w:sz w:val="25"/>
          <w:szCs w:val="25"/>
        </w:rPr>
        <w:t>співбесід</w:t>
      </w:r>
      <w:r w:rsidR="00E61797" w:rsidRPr="006D3B9D">
        <w:rPr>
          <w:sz w:val="25"/>
          <w:szCs w:val="25"/>
        </w:rPr>
        <w:t>и</w:t>
      </w:r>
      <w:r w:rsidRPr="006D3B9D">
        <w:rPr>
          <w:sz w:val="25"/>
          <w:szCs w:val="25"/>
        </w:rPr>
        <w:t xml:space="preserve"> </w:t>
      </w:r>
      <w:r w:rsidR="002536F2" w:rsidRPr="006D3B9D">
        <w:rPr>
          <w:sz w:val="25"/>
          <w:szCs w:val="25"/>
        </w:rPr>
        <w:t>формує</w:t>
      </w:r>
      <w:r w:rsidR="00E61797" w:rsidRPr="006D3B9D">
        <w:rPr>
          <w:sz w:val="25"/>
          <w:szCs w:val="25"/>
        </w:rPr>
        <w:t>ться</w:t>
      </w:r>
      <w:r w:rsidR="002536F2" w:rsidRPr="006D3B9D">
        <w:rPr>
          <w:sz w:val="25"/>
          <w:szCs w:val="25"/>
        </w:rPr>
        <w:t xml:space="preserve"> </w:t>
      </w:r>
      <w:r w:rsidRPr="006D3B9D">
        <w:rPr>
          <w:sz w:val="25"/>
          <w:szCs w:val="25"/>
        </w:rPr>
        <w:t>остаточн</w:t>
      </w:r>
      <w:r w:rsidR="00E61797" w:rsidRPr="006D3B9D">
        <w:rPr>
          <w:sz w:val="25"/>
          <w:szCs w:val="25"/>
        </w:rPr>
        <w:t>а</w:t>
      </w:r>
      <w:r w:rsidRPr="006D3B9D">
        <w:rPr>
          <w:sz w:val="25"/>
          <w:szCs w:val="25"/>
        </w:rPr>
        <w:t xml:space="preserve"> </w:t>
      </w:r>
      <w:r w:rsidR="002536F2" w:rsidRPr="006D3B9D">
        <w:rPr>
          <w:sz w:val="25"/>
          <w:szCs w:val="25"/>
        </w:rPr>
        <w:t>оцінк</w:t>
      </w:r>
      <w:r w:rsidR="00E61797" w:rsidRPr="006D3B9D">
        <w:rPr>
          <w:sz w:val="25"/>
          <w:szCs w:val="25"/>
        </w:rPr>
        <w:t>а</w:t>
      </w:r>
      <w:r w:rsidR="002536F2" w:rsidRPr="006D3B9D">
        <w:rPr>
          <w:sz w:val="25"/>
          <w:szCs w:val="25"/>
        </w:rPr>
        <w:t xml:space="preserve"> кандидата на посаду судді. У зв’язку з цим Комісія підкреслює, що оцінювання </w:t>
      </w:r>
      <w:r w:rsidR="00561C38" w:rsidRPr="006D3B9D">
        <w:rPr>
          <w:sz w:val="25"/>
          <w:szCs w:val="25"/>
        </w:rPr>
        <w:t>особистої</w:t>
      </w:r>
      <w:r w:rsidR="002536F2" w:rsidRPr="006D3B9D">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234B75EB" w:rsidR="00D43B16" w:rsidRPr="006D3B9D" w:rsidRDefault="002100A4"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w:t>
      </w:r>
      <w:r w:rsidR="00B95AF3" w:rsidRPr="006D3B9D">
        <w:rPr>
          <w:sz w:val="25"/>
          <w:szCs w:val="25"/>
        </w:rPr>
        <w:t>ункт</w:t>
      </w:r>
      <w:r w:rsidRPr="006D3B9D">
        <w:rPr>
          <w:sz w:val="25"/>
          <w:szCs w:val="25"/>
        </w:rPr>
        <w:t>ом</w:t>
      </w:r>
      <w:r w:rsidR="003679C3" w:rsidRPr="006D3B9D">
        <w:rPr>
          <w:sz w:val="25"/>
          <w:szCs w:val="25"/>
        </w:rPr>
        <w:t xml:space="preserve"> 5.7 Положення про кваліфікаційне оцінювання</w:t>
      </w:r>
      <w:r w:rsidRPr="006D3B9D">
        <w:rPr>
          <w:sz w:val="25"/>
          <w:szCs w:val="25"/>
        </w:rPr>
        <w:t xml:space="preserve"> передбачено, що</w:t>
      </w:r>
      <w:r w:rsidR="003679C3" w:rsidRPr="006D3B9D">
        <w:rPr>
          <w:sz w:val="25"/>
          <w:szCs w:val="25"/>
        </w:rPr>
        <w:t xml:space="preserve"> </w:t>
      </w:r>
      <w:r w:rsidR="00D43B16" w:rsidRPr="006D3B9D">
        <w:rPr>
          <w:sz w:val="25"/>
          <w:szCs w:val="25"/>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00D43B16" w:rsidRPr="006D3B9D">
        <w:rPr>
          <w:sz w:val="25"/>
          <w:szCs w:val="25"/>
        </w:rPr>
        <w:t>бала</w:t>
      </w:r>
      <w:proofErr w:type="spellEnd"/>
      <w:r w:rsidR="00D43B16" w:rsidRPr="006D3B9D">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6D3B9D">
        <w:rPr>
          <w:sz w:val="25"/>
          <w:szCs w:val="25"/>
        </w:rPr>
        <w:t>бала</w:t>
      </w:r>
      <w:proofErr w:type="spellEnd"/>
      <w:r w:rsidR="00D43B16" w:rsidRPr="006D3B9D">
        <w:rPr>
          <w:sz w:val="25"/>
          <w:szCs w:val="25"/>
        </w:rPr>
        <w:t xml:space="preserve"> здійснюється на підставі оцінок всіх членів колегії.</w:t>
      </w:r>
    </w:p>
    <w:p w14:paraId="0965589E" w14:textId="15FA58ED" w:rsidR="00A47A90" w:rsidRPr="006D3B9D" w:rsidRDefault="00D4588A" w:rsidP="00A47A9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Надані кандида</w:t>
      </w:r>
      <w:r w:rsidR="004A0BDC" w:rsidRPr="006D3B9D">
        <w:rPr>
          <w:sz w:val="25"/>
          <w:szCs w:val="25"/>
        </w:rPr>
        <w:t>том</w:t>
      </w:r>
      <w:r w:rsidR="00B95AF3" w:rsidRPr="006D3B9D">
        <w:rPr>
          <w:sz w:val="25"/>
          <w:szCs w:val="25"/>
        </w:rPr>
        <w:t xml:space="preserve"> </w:t>
      </w:r>
      <w:proofErr w:type="spellStart"/>
      <w:r w:rsidR="00E47FD1" w:rsidRPr="006D3B9D">
        <w:rPr>
          <w:sz w:val="25"/>
          <w:szCs w:val="25"/>
        </w:rPr>
        <w:t>Косогор</w:t>
      </w:r>
      <w:proofErr w:type="spellEnd"/>
      <w:r w:rsidR="00B95AF3" w:rsidRPr="006D3B9D">
        <w:rPr>
          <w:sz w:val="25"/>
          <w:szCs w:val="25"/>
        </w:rPr>
        <w:t xml:space="preserve"> </w:t>
      </w:r>
      <w:r w:rsidR="00E47FD1" w:rsidRPr="006D3B9D">
        <w:rPr>
          <w:sz w:val="25"/>
          <w:szCs w:val="25"/>
        </w:rPr>
        <w:t>О</w:t>
      </w:r>
      <w:r w:rsidR="00B95AF3" w:rsidRPr="006D3B9D">
        <w:rPr>
          <w:sz w:val="25"/>
          <w:szCs w:val="25"/>
        </w:rPr>
        <w:t>.</w:t>
      </w:r>
      <w:r w:rsidR="005A188F" w:rsidRPr="006D3B9D">
        <w:rPr>
          <w:sz w:val="25"/>
          <w:szCs w:val="25"/>
        </w:rPr>
        <w:t>М.</w:t>
      </w:r>
      <w:r w:rsidRPr="006D3B9D">
        <w:rPr>
          <w:sz w:val="25"/>
          <w:szCs w:val="25"/>
        </w:rPr>
        <w:t xml:space="preserve"> документи, а також </w:t>
      </w:r>
      <w:r w:rsidR="00F95306" w:rsidRPr="006D3B9D">
        <w:rPr>
          <w:sz w:val="25"/>
          <w:szCs w:val="25"/>
        </w:rPr>
        <w:t>її</w:t>
      </w:r>
      <w:r w:rsidRPr="006D3B9D">
        <w:rPr>
          <w:sz w:val="25"/>
          <w:szCs w:val="25"/>
        </w:rPr>
        <w:t xml:space="preserve"> відповіді під час послідовного обговорення показників особистої компетентності </w:t>
      </w:r>
      <w:r w:rsidR="00B95AF3" w:rsidRPr="006D3B9D">
        <w:rPr>
          <w:sz w:val="25"/>
          <w:szCs w:val="25"/>
        </w:rPr>
        <w:t xml:space="preserve">на </w:t>
      </w:r>
      <w:r w:rsidR="00FE5796" w:rsidRPr="006D3B9D">
        <w:rPr>
          <w:sz w:val="25"/>
          <w:szCs w:val="25"/>
        </w:rPr>
        <w:t>співбесід</w:t>
      </w:r>
      <w:r w:rsidR="00B95AF3" w:rsidRPr="006D3B9D">
        <w:rPr>
          <w:sz w:val="25"/>
          <w:szCs w:val="25"/>
        </w:rPr>
        <w:t>і</w:t>
      </w:r>
      <w:r w:rsidR="006573E8" w:rsidRPr="006D3B9D">
        <w:rPr>
          <w:sz w:val="25"/>
          <w:szCs w:val="25"/>
        </w:rPr>
        <w:t xml:space="preserve"> </w:t>
      </w:r>
      <w:r w:rsidRPr="006D3B9D">
        <w:rPr>
          <w:sz w:val="25"/>
          <w:szCs w:val="25"/>
        </w:rPr>
        <w:t>індивідуально оцінен</w:t>
      </w:r>
      <w:r w:rsidR="00F95306" w:rsidRPr="006D3B9D">
        <w:rPr>
          <w:sz w:val="25"/>
          <w:szCs w:val="25"/>
        </w:rPr>
        <w:t>о</w:t>
      </w:r>
      <w:r w:rsidRPr="006D3B9D">
        <w:rPr>
          <w:sz w:val="25"/>
          <w:szCs w:val="25"/>
        </w:rPr>
        <w:t xml:space="preserve"> членами Комісії </w:t>
      </w:r>
      <w:r w:rsidR="006573E8" w:rsidRPr="006D3B9D">
        <w:rPr>
          <w:sz w:val="25"/>
          <w:szCs w:val="25"/>
        </w:rPr>
        <w:t>таким чином</w:t>
      </w:r>
      <w:r w:rsidRPr="006D3B9D">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88"/>
        <w:gridCol w:w="527"/>
        <w:gridCol w:w="504"/>
        <w:gridCol w:w="441"/>
        <w:gridCol w:w="1590"/>
        <w:gridCol w:w="2100"/>
      </w:tblGrid>
      <w:tr w:rsidR="00FE0E83" w:rsidRPr="006D3B9D"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6D3B9D" w:rsidRDefault="00FE0E83" w:rsidP="004A2490">
            <w:pPr>
              <w:jc w:val="center"/>
              <w:rPr>
                <w:sz w:val="25"/>
                <w:szCs w:val="25"/>
              </w:rPr>
            </w:pPr>
            <w:r w:rsidRPr="006D3B9D">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6D3B9D" w:rsidRDefault="00FE0E83" w:rsidP="004A2490">
            <w:pPr>
              <w:jc w:val="center"/>
              <w:rPr>
                <w:sz w:val="25"/>
                <w:szCs w:val="25"/>
              </w:rPr>
            </w:pPr>
            <w:r w:rsidRPr="006D3B9D">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6D3B9D" w:rsidRDefault="00FE0E83" w:rsidP="004A2490">
            <w:pPr>
              <w:jc w:val="center"/>
              <w:rPr>
                <w:sz w:val="25"/>
                <w:szCs w:val="25"/>
              </w:rPr>
            </w:pPr>
            <w:r w:rsidRPr="006D3B9D">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1508B7A1" w:rsidR="00FE0E83" w:rsidRPr="006D3B9D" w:rsidRDefault="00FE0E83" w:rsidP="004A2490">
            <w:pPr>
              <w:jc w:val="center"/>
              <w:rPr>
                <w:sz w:val="25"/>
                <w:szCs w:val="25"/>
              </w:rPr>
            </w:pPr>
            <w:r w:rsidRPr="006D3B9D">
              <w:rPr>
                <w:sz w:val="25"/>
                <w:szCs w:val="25"/>
              </w:rPr>
              <w:t>Розрахований з</w:t>
            </w:r>
            <w:r w:rsidR="00F95306" w:rsidRPr="006D3B9D">
              <w:rPr>
                <w:sz w:val="25"/>
                <w:szCs w:val="25"/>
              </w:rPr>
              <w:t>гідно з</w:t>
            </w:r>
            <w:r w:rsidRPr="006D3B9D">
              <w:rPr>
                <w:sz w:val="25"/>
                <w:szCs w:val="25"/>
              </w:rPr>
              <w:t xml:space="preserve">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6D3B9D" w:rsidRDefault="00FE0E83" w:rsidP="004A2490">
            <w:pPr>
              <w:jc w:val="center"/>
              <w:rPr>
                <w:sz w:val="25"/>
                <w:szCs w:val="25"/>
              </w:rPr>
            </w:pPr>
            <w:r w:rsidRPr="006D3B9D">
              <w:rPr>
                <w:sz w:val="25"/>
                <w:szCs w:val="25"/>
              </w:rPr>
              <w:t>Бал за критерій</w:t>
            </w:r>
          </w:p>
        </w:tc>
      </w:tr>
      <w:tr w:rsidR="00FE0E83" w:rsidRPr="006D3B9D" w14:paraId="2819B93F" w14:textId="77777777" w:rsidTr="00D13535">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104CE281" w:rsidR="00FE0E83" w:rsidRPr="006D3B9D" w:rsidRDefault="00FE0E83" w:rsidP="004A2490">
            <w:pPr>
              <w:rPr>
                <w:sz w:val="25"/>
                <w:szCs w:val="25"/>
              </w:rPr>
            </w:pPr>
            <w:r w:rsidRPr="006D3B9D">
              <w:rPr>
                <w:sz w:val="25"/>
                <w:szCs w:val="25"/>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6D3B9D" w:rsidRDefault="00FE0E83" w:rsidP="004A2490">
            <w:pPr>
              <w:jc w:val="center"/>
              <w:rPr>
                <w:sz w:val="25"/>
                <w:szCs w:val="25"/>
              </w:rPr>
            </w:pPr>
            <w:r w:rsidRPr="006D3B9D">
              <w:rPr>
                <w:sz w:val="25"/>
                <w:szCs w:val="25"/>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66487DDD" w:rsidR="00FE0E83" w:rsidRPr="006D3B9D" w:rsidRDefault="005A188F" w:rsidP="004A2490">
            <w:pPr>
              <w:jc w:val="center"/>
              <w:rPr>
                <w:sz w:val="25"/>
                <w:szCs w:val="25"/>
              </w:rPr>
            </w:pPr>
            <w:r w:rsidRPr="006D3B9D">
              <w:rPr>
                <w:sz w:val="25"/>
                <w:szCs w:val="25"/>
              </w:rPr>
              <w:t>21</w:t>
            </w:r>
          </w:p>
        </w:tc>
        <w:tc>
          <w:tcPr>
            <w:tcW w:w="259" w:type="pct"/>
            <w:vMerge w:val="restart"/>
            <w:tcBorders>
              <w:top w:val="single" w:sz="12" w:space="0" w:color="auto"/>
            </w:tcBorders>
            <w:tcMar>
              <w:top w:w="30" w:type="dxa"/>
              <w:left w:w="45" w:type="dxa"/>
              <w:bottom w:w="30" w:type="dxa"/>
              <w:right w:w="45" w:type="dxa"/>
            </w:tcMar>
            <w:vAlign w:val="center"/>
          </w:tcPr>
          <w:p w14:paraId="78823CBE" w14:textId="213212DF" w:rsidR="00FE0E83" w:rsidRPr="006D3B9D" w:rsidRDefault="005A188F" w:rsidP="004A2490">
            <w:pPr>
              <w:jc w:val="center"/>
              <w:rPr>
                <w:sz w:val="25"/>
                <w:szCs w:val="25"/>
              </w:rPr>
            </w:pPr>
            <w:r w:rsidRPr="006D3B9D">
              <w:rPr>
                <w:sz w:val="25"/>
                <w:szCs w:val="25"/>
              </w:rPr>
              <w:t>20</w:t>
            </w:r>
          </w:p>
        </w:tc>
        <w:tc>
          <w:tcPr>
            <w:tcW w:w="227" w:type="pct"/>
            <w:vMerge w:val="restart"/>
            <w:tcBorders>
              <w:top w:val="single" w:sz="12" w:space="0" w:color="auto"/>
            </w:tcBorders>
            <w:tcMar>
              <w:top w:w="30" w:type="dxa"/>
              <w:left w:w="45" w:type="dxa"/>
              <w:bottom w:w="30" w:type="dxa"/>
              <w:right w:w="45" w:type="dxa"/>
            </w:tcMar>
            <w:vAlign w:val="center"/>
          </w:tcPr>
          <w:p w14:paraId="37614AC5" w14:textId="30DC4195" w:rsidR="00FE0E83" w:rsidRPr="006D3B9D" w:rsidRDefault="005A188F" w:rsidP="004A2490">
            <w:pPr>
              <w:jc w:val="center"/>
              <w:rPr>
                <w:sz w:val="25"/>
                <w:szCs w:val="25"/>
              </w:rPr>
            </w:pPr>
            <w:r w:rsidRPr="006D3B9D">
              <w:rPr>
                <w:sz w:val="25"/>
                <w:szCs w:val="25"/>
              </w:rPr>
              <w:t>20</w:t>
            </w:r>
          </w:p>
        </w:tc>
        <w:tc>
          <w:tcPr>
            <w:tcW w:w="878" w:type="pct"/>
            <w:vMerge w:val="restart"/>
            <w:tcBorders>
              <w:top w:val="single" w:sz="12" w:space="0" w:color="auto"/>
            </w:tcBorders>
            <w:tcMar>
              <w:top w:w="30" w:type="dxa"/>
              <w:left w:w="45" w:type="dxa"/>
              <w:bottom w:w="30" w:type="dxa"/>
              <w:right w:w="45" w:type="dxa"/>
            </w:tcMar>
            <w:vAlign w:val="center"/>
          </w:tcPr>
          <w:p w14:paraId="1BA2BA8F" w14:textId="4288DEFA" w:rsidR="00FE0E83" w:rsidRPr="006D3B9D" w:rsidRDefault="005A188F" w:rsidP="004A2490">
            <w:pPr>
              <w:jc w:val="center"/>
              <w:rPr>
                <w:sz w:val="25"/>
                <w:szCs w:val="25"/>
              </w:rPr>
            </w:pPr>
            <w:r w:rsidRPr="006D3B9D">
              <w:rPr>
                <w:sz w:val="25"/>
                <w:szCs w:val="25"/>
              </w:rPr>
              <w:t>20</w:t>
            </w:r>
            <w:r w:rsidR="00160121" w:rsidRPr="006D3B9D">
              <w:rPr>
                <w:sz w:val="25"/>
                <w:szCs w:val="25"/>
              </w:rPr>
              <w:t>,33</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hideMark/>
          </w:tcPr>
          <w:p w14:paraId="4CDBD225" w14:textId="0D6182F4" w:rsidR="00FE0E83" w:rsidRPr="006D3B9D" w:rsidRDefault="005A188F" w:rsidP="004A2490">
            <w:pPr>
              <w:jc w:val="center"/>
              <w:rPr>
                <w:sz w:val="25"/>
                <w:szCs w:val="25"/>
                <w:highlight w:val="yellow"/>
              </w:rPr>
            </w:pPr>
            <w:r w:rsidRPr="006D3B9D">
              <w:rPr>
                <w:sz w:val="25"/>
                <w:szCs w:val="25"/>
              </w:rPr>
              <w:t>40</w:t>
            </w:r>
            <w:r w:rsidR="00160121" w:rsidRPr="006D3B9D">
              <w:rPr>
                <w:sz w:val="25"/>
                <w:szCs w:val="25"/>
              </w:rPr>
              <w:t>,</w:t>
            </w:r>
            <w:r w:rsidRPr="006D3B9D">
              <w:rPr>
                <w:sz w:val="25"/>
                <w:szCs w:val="25"/>
              </w:rPr>
              <w:t>00</w:t>
            </w:r>
          </w:p>
        </w:tc>
      </w:tr>
      <w:tr w:rsidR="00FE0E83" w:rsidRPr="006D3B9D" w14:paraId="64E4EB74" w14:textId="77777777" w:rsidTr="00D13535">
        <w:trPr>
          <w:trHeight w:val="287"/>
        </w:trPr>
        <w:tc>
          <w:tcPr>
            <w:tcW w:w="814" w:type="pct"/>
            <w:vMerge/>
            <w:tcBorders>
              <w:left w:val="single" w:sz="12" w:space="0" w:color="auto"/>
              <w:bottom w:val="single" w:sz="12" w:space="0" w:color="auto"/>
            </w:tcBorders>
            <w:vAlign w:val="center"/>
            <w:hideMark/>
          </w:tcPr>
          <w:p w14:paraId="7DE47DA0" w14:textId="77777777" w:rsidR="00FE0E83" w:rsidRPr="006D3B9D" w:rsidRDefault="00FE0E83" w:rsidP="004A2490">
            <w:pPr>
              <w:rPr>
                <w:sz w:val="25"/>
                <w:szCs w:val="25"/>
              </w:rPr>
            </w:pPr>
          </w:p>
        </w:tc>
        <w:tc>
          <w:tcPr>
            <w:tcW w:w="1404" w:type="pct"/>
            <w:vMerge/>
            <w:vAlign w:val="center"/>
            <w:hideMark/>
          </w:tcPr>
          <w:p w14:paraId="41B457DD" w14:textId="77777777" w:rsidR="00FE0E83" w:rsidRPr="006D3B9D" w:rsidRDefault="00FE0E83" w:rsidP="004A2490">
            <w:pPr>
              <w:rPr>
                <w:sz w:val="25"/>
                <w:szCs w:val="25"/>
              </w:rPr>
            </w:pPr>
          </w:p>
        </w:tc>
        <w:tc>
          <w:tcPr>
            <w:tcW w:w="271" w:type="pct"/>
            <w:vMerge/>
            <w:vAlign w:val="center"/>
          </w:tcPr>
          <w:p w14:paraId="3E9B9320" w14:textId="77777777" w:rsidR="00FE0E83" w:rsidRPr="006D3B9D" w:rsidRDefault="00FE0E83" w:rsidP="004A2490">
            <w:pPr>
              <w:rPr>
                <w:sz w:val="25"/>
                <w:szCs w:val="25"/>
              </w:rPr>
            </w:pPr>
          </w:p>
        </w:tc>
        <w:tc>
          <w:tcPr>
            <w:tcW w:w="259" w:type="pct"/>
            <w:vMerge/>
            <w:vAlign w:val="center"/>
          </w:tcPr>
          <w:p w14:paraId="7168044B" w14:textId="77777777" w:rsidR="00FE0E83" w:rsidRPr="006D3B9D" w:rsidRDefault="00FE0E83" w:rsidP="004A2490">
            <w:pPr>
              <w:rPr>
                <w:sz w:val="25"/>
                <w:szCs w:val="25"/>
              </w:rPr>
            </w:pPr>
          </w:p>
        </w:tc>
        <w:tc>
          <w:tcPr>
            <w:tcW w:w="227" w:type="pct"/>
            <w:vMerge/>
            <w:vAlign w:val="center"/>
          </w:tcPr>
          <w:p w14:paraId="3E79B100" w14:textId="77777777" w:rsidR="00FE0E83" w:rsidRPr="006D3B9D" w:rsidRDefault="00FE0E83" w:rsidP="004A2490">
            <w:pPr>
              <w:rPr>
                <w:sz w:val="25"/>
                <w:szCs w:val="25"/>
              </w:rPr>
            </w:pPr>
          </w:p>
        </w:tc>
        <w:tc>
          <w:tcPr>
            <w:tcW w:w="878" w:type="pct"/>
            <w:vMerge/>
            <w:vAlign w:val="center"/>
          </w:tcPr>
          <w:p w14:paraId="237AB693"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6D3B9D" w:rsidRDefault="00FE0E83" w:rsidP="004A2490">
            <w:pPr>
              <w:rPr>
                <w:sz w:val="25"/>
                <w:szCs w:val="25"/>
              </w:rPr>
            </w:pPr>
          </w:p>
        </w:tc>
      </w:tr>
      <w:tr w:rsidR="00FE0E83" w:rsidRPr="006D3B9D" w14:paraId="511AE99D" w14:textId="77777777" w:rsidTr="00D13535">
        <w:trPr>
          <w:trHeight w:val="287"/>
        </w:trPr>
        <w:tc>
          <w:tcPr>
            <w:tcW w:w="814" w:type="pct"/>
            <w:vMerge/>
            <w:tcBorders>
              <w:left w:val="single" w:sz="12" w:space="0" w:color="auto"/>
              <w:bottom w:val="single" w:sz="12" w:space="0" w:color="auto"/>
            </w:tcBorders>
            <w:vAlign w:val="center"/>
            <w:hideMark/>
          </w:tcPr>
          <w:p w14:paraId="3D29AFE3" w14:textId="77777777" w:rsidR="00FE0E83" w:rsidRPr="006D3B9D" w:rsidRDefault="00FE0E83" w:rsidP="004A2490">
            <w:pPr>
              <w:rPr>
                <w:sz w:val="25"/>
                <w:szCs w:val="25"/>
              </w:rPr>
            </w:pPr>
          </w:p>
        </w:tc>
        <w:tc>
          <w:tcPr>
            <w:tcW w:w="1404" w:type="pct"/>
            <w:vMerge/>
            <w:vAlign w:val="center"/>
            <w:hideMark/>
          </w:tcPr>
          <w:p w14:paraId="034D5CC7" w14:textId="77777777" w:rsidR="00FE0E83" w:rsidRPr="006D3B9D" w:rsidRDefault="00FE0E83" w:rsidP="004A2490">
            <w:pPr>
              <w:rPr>
                <w:sz w:val="25"/>
                <w:szCs w:val="25"/>
              </w:rPr>
            </w:pPr>
          </w:p>
        </w:tc>
        <w:tc>
          <w:tcPr>
            <w:tcW w:w="271" w:type="pct"/>
            <w:vMerge/>
            <w:vAlign w:val="center"/>
          </w:tcPr>
          <w:p w14:paraId="49ECF271" w14:textId="77777777" w:rsidR="00FE0E83" w:rsidRPr="006D3B9D" w:rsidRDefault="00FE0E83" w:rsidP="004A2490">
            <w:pPr>
              <w:rPr>
                <w:sz w:val="25"/>
                <w:szCs w:val="25"/>
              </w:rPr>
            </w:pPr>
          </w:p>
        </w:tc>
        <w:tc>
          <w:tcPr>
            <w:tcW w:w="259" w:type="pct"/>
            <w:vMerge/>
            <w:vAlign w:val="center"/>
          </w:tcPr>
          <w:p w14:paraId="221DC314" w14:textId="77777777" w:rsidR="00FE0E83" w:rsidRPr="006D3B9D" w:rsidRDefault="00FE0E83" w:rsidP="004A2490">
            <w:pPr>
              <w:rPr>
                <w:sz w:val="25"/>
                <w:szCs w:val="25"/>
              </w:rPr>
            </w:pPr>
          </w:p>
        </w:tc>
        <w:tc>
          <w:tcPr>
            <w:tcW w:w="227" w:type="pct"/>
            <w:vMerge/>
            <w:vAlign w:val="center"/>
          </w:tcPr>
          <w:p w14:paraId="6AD1A191" w14:textId="77777777" w:rsidR="00FE0E83" w:rsidRPr="006D3B9D" w:rsidRDefault="00FE0E83" w:rsidP="004A2490">
            <w:pPr>
              <w:rPr>
                <w:sz w:val="25"/>
                <w:szCs w:val="25"/>
              </w:rPr>
            </w:pPr>
          </w:p>
        </w:tc>
        <w:tc>
          <w:tcPr>
            <w:tcW w:w="878" w:type="pct"/>
            <w:vMerge/>
            <w:vAlign w:val="center"/>
          </w:tcPr>
          <w:p w14:paraId="465CBC28"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6D3B9D" w:rsidRDefault="00FE0E83" w:rsidP="004A2490">
            <w:pPr>
              <w:rPr>
                <w:sz w:val="25"/>
                <w:szCs w:val="25"/>
              </w:rPr>
            </w:pPr>
          </w:p>
        </w:tc>
      </w:tr>
      <w:tr w:rsidR="00FE0E83" w:rsidRPr="006D3B9D" w14:paraId="70897B08" w14:textId="77777777" w:rsidTr="00D13535">
        <w:trPr>
          <w:trHeight w:val="287"/>
        </w:trPr>
        <w:tc>
          <w:tcPr>
            <w:tcW w:w="814" w:type="pct"/>
            <w:vMerge/>
            <w:tcBorders>
              <w:left w:val="single" w:sz="12" w:space="0" w:color="auto"/>
              <w:bottom w:val="single" w:sz="12" w:space="0" w:color="auto"/>
            </w:tcBorders>
            <w:vAlign w:val="center"/>
            <w:hideMark/>
          </w:tcPr>
          <w:p w14:paraId="10810880" w14:textId="77777777" w:rsidR="00FE0E83" w:rsidRPr="006D3B9D" w:rsidRDefault="00FE0E83" w:rsidP="004A2490">
            <w:pPr>
              <w:rPr>
                <w:sz w:val="25"/>
                <w:szCs w:val="25"/>
              </w:rPr>
            </w:pPr>
          </w:p>
        </w:tc>
        <w:tc>
          <w:tcPr>
            <w:tcW w:w="1404" w:type="pct"/>
            <w:vMerge w:val="restart"/>
            <w:tcMar>
              <w:top w:w="30" w:type="dxa"/>
              <w:left w:w="45" w:type="dxa"/>
              <w:bottom w:w="30" w:type="dxa"/>
              <w:right w:w="45" w:type="dxa"/>
            </w:tcMar>
            <w:vAlign w:val="center"/>
            <w:hideMark/>
          </w:tcPr>
          <w:p w14:paraId="412FCF85" w14:textId="77777777" w:rsidR="00FE0E83" w:rsidRPr="006D3B9D" w:rsidRDefault="00FE0E83" w:rsidP="004A2490">
            <w:pPr>
              <w:jc w:val="center"/>
              <w:rPr>
                <w:sz w:val="25"/>
                <w:szCs w:val="25"/>
              </w:rPr>
            </w:pPr>
            <w:r w:rsidRPr="006D3B9D">
              <w:rPr>
                <w:sz w:val="25"/>
                <w:szCs w:val="25"/>
              </w:rPr>
              <w:t>відповідальність</w:t>
            </w:r>
          </w:p>
        </w:tc>
        <w:tc>
          <w:tcPr>
            <w:tcW w:w="271" w:type="pct"/>
            <w:vMerge/>
            <w:vAlign w:val="center"/>
          </w:tcPr>
          <w:p w14:paraId="623903EC" w14:textId="77777777" w:rsidR="00FE0E83" w:rsidRPr="006D3B9D" w:rsidRDefault="00FE0E83" w:rsidP="004A2490">
            <w:pPr>
              <w:rPr>
                <w:sz w:val="25"/>
                <w:szCs w:val="25"/>
              </w:rPr>
            </w:pPr>
          </w:p>
        </w:tc>
        <w:tc>
          <w:tcPr>
            <w:tcW w:w="259" w:type="pct"/>
            <w:vMerge/>
            <w:vAlign w:val="center"/>
          </w:tcPr>
          <w:p w14:paraId="40585013" w14:textId="77777777" w:rsidR="00FE0E83" w:rsidRPr="006D3B9D" w:rsidRDefault="00FE0E83" w:rsidP="004A2490">
            <w:pPr>
              <w:rPr>
                <w:sz w:val="25"/>
                <w:szCs w:val="25"/>
              </w:rPr>
            </w:pPr>
          </w:p>
        </w:tc>
        <w:tc>
          <w:tcPr>
            <w:tcW w:w="227" w:type="pct"/>
            <w:vMerge/>
            <w:vAlign w:val="center"/>
          </w:tcPr>
          <w:p w14:paraId="1704AC7E" w14:textId="77777777" w:rsidR="00FE0E83" w:rsidRPr="006D3B9D" w:rsidRDefault="00FE0E83" w:rsidP="004A2490">
            <w:pPr>
              <w:rPr>
                <w:sz w:val="25"/>
                <w:szCs w:val="25"/>
              </w:rPr>
            </w:pPr>
          </w:p>
        </w:tc>
        <w:tc>
          <w:tcPr>
            <w:tcW w:w="878" w:type="pct"/>
            <w:vMerge/>
            <w:vAlign w:val="center"/>
          </w:tcPr>
          <w:p w14:paraId="2BB7E14D"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6D3B9D" w:rsidRDefault="00FE0E83" w:rsidP="004A2490">
            <w:pPr>
              <w:rPr>
                <w:sz w:val="25"/>
                <w:szCs w:val="25"/>
              </w:rPr>
            </w:pPr>
          </w:p>
        </w:tc>
      </w:tr>
      <w:tr w:rsidR="00FE0E83" w:rsidRPr="006D3B9D" w14:paraId="3C1928E7" w14:textId="77777777" w:rsidTr="00D13535">
        <w:trPr>
          <w:trHeight w:val="287"/>
        </w:trPr>
        <w:tc>
          <w:tcPr>
            <w:tcW w:w="814" w:type="pct"/>
            <w:vMerge/>
            <w:tcBorders>
              <w:left w:val="single" w:sz="12" w:space="0" w:color="auto"/>
              <w:bottom w:val="single" w:sz="12" w:space="0" w:color="auto"/>
            </w:tcBorders>
            <w:vAlign w:val="center"/>
            <w:hideMark/>
          </w:tcPr>
          <w:p w14:paraId="6541CB54" w14:textId="77777777" w:rsidR="00FE0E83" w:rsidRPr="006D3B9D" w:rsidRDefault="00FE0E83" w:rsidP="004A2490">
            <w:pPr>
              <w:rPr>
                <w:sz w:val="25"/>
                <w:szCs w:val="25"/>
              </w:rPr>
            </w:pPr>
          </w:p>
        </w:tc>
        <w:tc>
          <w:tcPr>
            <w:tcW w:w="1404" w:type="pct"/>
            <w:vMerge/>
            <w:vAlign w:val="center"/>
            <w:hideMark/>
          </w:tcPr>
          <w:p w14:paraId="282250C6" w14:textId="77777777" w:rsidR="00FE0E83" w:rsidRPr="006D3B9D" w:rsidRDefault="00FE0E83" w:rsidP="004A2490">
            <w:pPr>
              <w:rPr>
                <w:sz w:val="25"/>
                <w:szCs w:val="25"/>
              </w:rPr>
            </w:pPr>
          </w:p>
        </w:tc>
        <w:tc>
          <w:tcPr>
            <w:tcW w:w="271" w:type="pct"/>
            <w:vMerge/>
            <w:vAlign w:val="center"/>
          </w:tcPr>
          <w:p w14:paraId="47818E0D" w14:textId="77777777" w:rsidR="00FE0E83" w:rsidRPr="006D3B9D" w:rsidRDefault="00FE0E83" w:rsidP="004A2490">
            <w:pPr>
              <w:rPr>
                <w:sz w:val="25"/>
                <w:szCs w:val="25"/>
              </w:rPr>
            </w:pPr>
          </w:p>
        </w:tc>
        <w:tc>
          <w:tcPr>
            <w:tcW w:w="259" w:type="pct"/>
            <w:vMerge/>
            <w:vAlign w:val="center"/>
          </w:tcPr>
          <w:p w14:paraId="5033658F" w14:textId="77777777" w:rsidR="00FE0E83" w:rsidRPr="006D3B9D" w:rsidRDefault="00FE0E83" w:rsidP="004A2490">
            <w:pPr>
              <w:rPr>
                <w:sz w:val="25"/>
                <w:szCs w:val="25"/>
              </w:rPr>
            </w:pPr>
          </w:p>
        </w:tc>
        <w:tc>
          <w:tcPr>
            <w:tcW w:w="227" w:type="pct"/>
            <w:vMerge/>
            <w:vAlign w:val="center"/>
          </w:tcPr>
          <w:p w14:paraId="5ECBFACF" w14:textId="77777777" w:rsidR="00FE0E83" w:rsidRPr="006D3B9D" w:rsidRDefault="00FE0E83" w:rsidP="004A2490">
            <w:pPr>
              <w:rPr>
                <w:sz w:val="25"/>
                <w:szCs w:val="25"/>
              </w:rPr>
            </w:pPr>
          </w:p>
        </w:tc>
        <w:tc>
          <w:tcPr>
            <w:tcW w:w="878" w:type="pct"/>
            <w:vMerge/>
            <w:vAlign w:val="center"/>
          </w:tcPr>
          <w:p w14:paraId="372A6893"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6D3B9D" w:rsidRDefault="00FE0E83" w:rsidP="004A2490">
            <w:pPr>
              <w:rPr>
                <w:sz w:val="25"/>
                <w:szCs w:val="25"/>
              </w:rPr>
            </w:pPr>
          </w:p>
        </w:tc>
      </w:tr>
      <w:tr w:rsidR="00FE0E83" w:rsidRPr="006D3B9D" w14:paraId="53FC6F04" w14:textId="77777777" w:rsidTr="00D13535">
        <w:trPr>
          <w:trHeight w:val="287"/>
        </w:trPr>
        <w:tc>
          <w:tcPr>
            <w:tcW w:w="814" w:type="pct"/>
            <w:vMerge/>
            <w:tcBorders>
              <w:left w:val="single" w:sz="12" w:space="0" w:color="auto"/>
              <w:bottom w:val="single" w:sz="12" w:space="0" w:color="auto"/>
            </w:tcBorders>
            <w:vAlign w:val="center"/>
            <w:hideMark/>
          </w:tcPr>
          <w:p w14:paraId="2C42E802" w14:textId="77777777" w:rsidR="00FE0E83" w:rsidRPr="006D3B9D" w:rsidRDefault="00FE0E83" w:rsidP="004A2490">
            <w:pPr>
              <w:rPr>
                <w:sz w:val="25"/>
                <w:szCs w:val="25"/>
              </w:rPr>
            </w:pPr>
          </w:p>
        </w:tc>
        <w:tc>
          <w:tcPr>
            <w:tcW w:w="1404" w:type="pct"/>
            <w:vMerge/>
            <w:tcBorders>
              <w:bottom w:val="single" w:sz="4" w:space="0" w:color="auto"/>
            </w:tcBorders>
            <w:vAlign w:val="center"/>
            <w:hideMark/>
          </w:tcPr>
          <w:p w14:paraId="1DCB5026" w14:textId="77777777" w:rsidR="00FE0E83" w:rsidRPr="006D3B9D" w:rsidRDefault="00FE0E83" w:rsidP="004A2490">
            <w:pPr>
              <w:rPr>
                <w:sz w:val="25"/>
                <w:szCs w:val="25"/>
              </w:rPr>
            </w:pPr>
          </w:p>
        </w:tc>
        <w:tc>
          <w:tcPr>
            <w:tcW w:w="271" w:type="pct"/>
            <w:vMerge/>
            <w:tcBorders>
              <w:bottom w:val="single" w:sz="4" w:space="0" w:color="auto"/>
            </w:tcBorders>
            <w:vAlign w:val="center"/>
          </w:tcPr>
          <w:p w14:paraId="1BCE76DB" w14:textId="77777777" w:rsidR="00FE0E83" w:rsidRPr="006D3B9D" w:rsidRDefault="00FE0E83" w:rsidP="004A2490">
            <w:pPr>
              <w:rPr>
                <w:sz w:val="25"/>
                <w:szCs w:val="25"/>
              </w:rPr>
            </w:pPr>
          </w:p>
        </w:tc>
        <w:tc>
          <w:tcPr>
            <w:tcW w:w="259" w:type="pct"/>
            <w:vMerge/>
            <w:tcBorders>
              <w:bottom w:val="single" w:sz="4" w:space="0" w:color="auto"/>
            </w:tcBorders>
            <w:vAlign w:val="center"/>
          </w:tcPr>
          <w:p w14:paraId="5AB27A1C" w14:textId="77777777" w:rsidR="00FE0E83" w:rsidRPr="006D3B9D" w:rsidRDefault="00FE0E83" w:rsidP="004A2490">
            <w:pPr>
              <w:rPr>
                <w:sz w:val="25"/>
                <w:szCs w:val="25"/>
              </w:rPr>
            </w:pPr>
          </w:p>
        </w:tc>
        <w:tc>
          <w:tcPr>
            <w:tcW w:w="227" w:type="pct"/>
            <w:vMerge/>
            <w:tcBorders>
              <w:bottom w:val="single" w:sz="4" w:space="0" w:color="auto"/>
            </w:tcBorders>
            <w:vAlign w:val="center"/>
          </w:tcPr>
          <w:p w14:paraId="0C037A1D" w14:textId="77777777" w:rsidR="00FE0E83" w:rsidRPr="006D3B9D" w:rsidRDefault="00FE0E83" w:rsidP="004A2490">
            <w:pPr>
              <w:rPr>
                <w:sz w:val="25"/>
                <w:szCs w:val="25"/>
              </w:rPr>
            </w:pPr>
          </w:p>
        </w:tc>
        <w:tc>
          <w:tcPr>
            <w:tcW w:w="878" w:type="pct"/>
            <w:vMerge/>
            <w:tcBorders>
              <w:bottom w:val="single" w:sz="4" w:space="0" w:color="auto"/>
            </w:tcBorders>
            <w:vAlign w:val="center"/>
          </w:tcPr>
          <w:p w14:paraId="0962BF99"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6D3B9D" w:rsidRDefault="00FE0E83" w:rsidP="004A2490">
            <w:pPr>
              <w:rPr>
                <w:sz w:val="25"/>
                <w:szCs w:val="25"/>
              </w:rPr>
            </w:pPr>
          </w:p>
        </w:tc>
      </w:tr>
      <w:tr w:rsidR="00FE0E83" w:rsidRPr="006D3B9D" w14:paraId="2A1841F2" w14:textId="77777777" w:rsidTr="00D13535">
        <w:trPr>
          <w:trHeight w:val="287"/>
        </w:trPr>
        <w:tc>
          <w:tcPr>
            <w:tcW w:w="814" w:type="pct"/>
            <w:vMerge/>
            <w:tcBorders>
              <w:left w:val="single" w:sz="12" w:space="0" w:color="auto"/>
              <w:bottom w:val="single" w:sz="12" w:space="0" w:color="auto"/>
            </w:tcBorders>
            <w:vAlign w:val="center"/>
            <w:hideMark/>
          </w:tcPr>
          <w:p w14:paraId="163BE1DE" w14:textId="77777777" w:rsidR="00FE0E83" w:rsidRPr="006D3B9D" w:rsidRDefault="00FE0E83" w:rsidP="004A2490">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6D3B9D" w:rsidRDefault="00FE0E83" w:rsidP="004A2490">
            <w:pPr>
              <w:jc w:val="center"/>
              <w:rPr>
                <w:sz w:val="25"/>
                <w:szCs w:val="25"/>
              </w:rPr>
            </w:pPr>
            <w:r w:rsidRPr="006D3B9D">
              <w:rPr>
                <w:sz w:val="25"/>
                <w:szCs w:val="25"/>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0F93CC68" w:rsidR="00FE0E83" w:rsidRPr="006D3B9D" w:rsidRDefault="005A188F" w:rsidP="004A2490">
            <w:pPr>
              <w:jc w:val="center"/>
              <w:rPr>
                <w:sz w:val="25"/>
                <w:szCs w:val="25"/>
              </w:rPr>
            </w:pPr>
            <w:r w:rsidRPr="006D3B9D">
              <w:rPr>
                <w:sz w:val="25"/>
                <w:szCs w:val="25"/>
              </w:rPr>
              <w:t>20</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3681B730" w:rsidR="00FE0E83" w:rsidRPr="006D3B9D" w:rsidRDefault="00160121" w:rsidP="004A2490">
            <w:pPr>
              <w:jc w:val="center"/>
              <w:rPr>
                <w:sz w:val="25"/>
                <w:szCs w:val="25"/>
              </w:rPr>
            </w:pPr>
            <w:r w:rsidRPr="006D3B9D">
              <w:rPr>
                <w:sz w:val="25"/>
                <w:szCs w:val="25"/>
              </w:rPr>
              <w:t>19</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0348AB3A" w:rsidR="00FE0E83" w:rsidRPr="006D3B9D" w:rsidRDefault="00160121" w:rsidP="004A2490">
            <w:pPr>
              <w:jc w:val="center"/>
              <w:rPr>
                <w:sz w:val="25"/>
                <w:szCs w:val="25"/>
              </w:rPr>
            </w:pPr>
            <w:r w:rsidRPr="006D3B9D">
              <w:rPr>
                <w:sz w:val="25"/>
                <w:szCs w:val="25"/>
              </w:rPr>
              <w:t>20</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6C356A5E" w:rsidR="00FE0E83" w:rsidRPr="006D3B9D" w:rsidRDefault="00160121" w:rsidP="004A2490">
            <w:pPr>
              <w:jc w:val="center"/>
              <w:rPr>
                <w:sz w:val="25"/>
                <w:szCs w:val="25"/>
              </w:rPr>
            </w:pPr>
            <w:r w:rsidRPr="006D3B9D">
              <w:rPr>
                <w:sz w:val="25"/>
                <w:szCs w:val="25"/>
              </w:rPr>
              <w:t>19,</w:t>
            </w:r>
            <w:r w:rsidR="005A188F" w:rsidRPr="006D3B9D">
              <w:rPr>
                <w:sz w:val="25"/>
                <w:szCs w:val="25"/>
              </w:rPr>
              <w:t>67</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6D3B9D" w:rsidRDefault="00FE0E83" w:rsidP="004A2490">
            <w:pPr>
              <w:rPr>
                <w:sz w:val="25"/>
                <w:szCs w:val="25"/>
              </w:rPr>
            </w:pPr>
          </w:p>
        </w:tc>
      </w:tr>
      <w:tr w:rsidR="00FE0E83" w:rsidRPr="006D3B9D" w14:paraId="048930E0" w14:textId="77777777" w:rsidTr="00D13535">
        <w:trPr>
          <w:trHeight w:val="287"/>
        </w:trPr>
        <w:tc>
          <w:tcPr>
            <w:tcW w:w="814" w:type="pct"/>
            <w:vMerge/>
            <w:tcBorders>
              <w:left w:val="single" w:sz="12" w:space="0" w:color="auto"/>
              <w:bottom w:val="single" w:sz="12" w:space="0" w:color="auto"/>
            </w:tcBorders>
            <w:vAlign w:val="center"/>
            <w:hideMark/>
          </w:tcPr>
          <w:p w14:paraId="7FA6BA73" w14:textId="77777777" w:rsidR="00FE0E83" w:rsidRPr="006D3B9D" w:rsidRDefault="00FE0E83" w:rsidP="004A2490">
            <w:pPr>
              <w:rPr>
                <w:sz w:val="25"/>
                <w:szCs w:val="25"/>
              </w:rPr>
            </w:pPr>
          </w:p>
        </w:tc>
        <w:tc>
          <w:tcPr>
            <w:tcW w:w="1404" w:type="pct"/>
            <w:vMerge/>
            <w:tcBorders>
              <w:bottom w:val="single" w:sz="12" w:space="0" w:color="auto"/>
            </w:tcBorders>
            <w:vAlign w:val="center"/>
            <w:hideMark/>
          </w:tcPr>
          <w:p w14:paraId="3A4BD04E" w14:textId="77777777" w:rsidR="00FE0E83" w:rsidRPr="006D3B9D" w:rsidRDefault="00FE0E83" w:rsidP="004A2490">
            <w:pPr>
              <w:rPr>
                <w:sz w:val="25"/>
                <w:szCs w:val="25"/>
              </w:rPr>
            </w:pPr>
          </w:p>
        </w:tc>
        <w:tc>
          <w:tcPr>
            <w:tcW w:w="271" w:type="pct"/>
            <w:vMerge/>
            <w:tcBorders>
              <w:bottom w:val="single" w:sz="12" w:space="0" w:color="auto"/>
            </w:tcBorders>
            <w:vAlign w:val="center"/>
          </w:tcPr>
          <w:p w14:paraId="09830400" w14:textId="77777777" w:rsidR="00FE0E83" w:rsidRPr="006D3B9D" w:rsidRDefault="00FE0E83" w:rsidP="004A2490">
            <w:pPr>
              <w:rPr>
                <w:sz w:val="25"/>
                <w:szCs w:val="25"/>
              </w:rPr>
            </w:pPr>
          </w:p>
        </w:tc>
        <w:tc>
          <w:tcPr>
            <w:tcW w:w="259" w:type="pct"/>
            <w:vMerge/>
            <w:tcBorders>
              <w:bottom w:val="single" w:sz="12" w:space="0" w:color="auto"/>
            </w:tcBorders>
            <w:vAlign w:val="center"/>
          </w:tcPr>
          <w:p w14:paraId="023D284E" w14:textId="77777777" w:rsidR="00FE0E83" w:rsidRPr="006D3B9D" w:rsidRDefault="00FE0E83" w:rsidP="004A2490">
            <w:pPr>
              <w:rPr>
                <w:sz w:val="25"/>
                <w:szCs w:val="25"/>
              </w:rPr>
            </w:pPr>
          </w:p>
        </w:tc>
        <w:tc>
          <w:tcPr>
            <w:tcW w:w="227" w:type="pct"/>
            <w:vMerge/>
            <w:tcBorders>
              <w:bottom w:val="single" w:sz="12" w:space="0" w:color="auto"/>
            </w:tcBorders>
            <w:vAlign w:val="center"/>
          </w:tcPr>
          <w:p w14:paraId="7F3FE391" w14:textId="77777777" w:rsidR="00FE0E83" w:rsidRPr="006D3B9D" w:rsidRDefault="00FE0E83" w:rsidP="004A2490">
            <w:pPr>
              <w:rPr>
                <w:sz w:val="25"/>
                <w:szCs w:val="25"/>
              </w:rPr>
            </w:pPr>
          </w:p>
        </w:tc>
        <w:tc>
          <w:tcPr>
            <w:tcW w:w="878" w:type="pct"/>
            <w:vMerge/>
            <w:tcBorders>
              <w:bottom w:val="single" w:sz="12" w:space="0" w:color="auto"/>
            </w:tcBorders>
            <w:vAlign w:val="center"/>
          </w:tcPr>
          <w:p w14:paraId="70FF5F3E"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6D3B9D" w:rsidRDefault="00FE0E83" w:rsidP="004A2490">
            <w:pPr>
              <w:rPr>
                <w:sz w:val="25"/>
                <w:szCs w:val="25"/>
              </w:rPr>
            </w:pPr>
          </w:p>
        </w:tc>
      </w:tr>
      <w:tr w:rsidR="00FE0E83" w:rsidRPr="006D3B9D" w14:paraId="5D10181A" w14:textId="77777777" w:rsidTr="00D13535">
        <w:trPr>
          <w:trHeight w:val="287"/>
        </w:trPr>
        <w:tc>
          <w:tcPr>
            <w:tcW w:w="814" w:type="pct"/>
            <w:vMerge/>
            <w:tcBorders>
              <w:left w:val="single" w:sz="12" w:space="0" w:color="auto"/>
              <w:bottom w:val="single" w:sz="12" w:space="0" w:color="auto"/>
            </w:tcBorders>
            <w:vAlign w:val="center"/>
            <w:hideMark/>
          </w:tcPr>
          <w:p w14:paraId="1E24BE25" w14:textId="77777777" w:rsidR="00FE0E83" w:rsidRPr="006D3B9D" w:rsidRDefault="00FE0E83" w:rsidP="004A2490">
            <w:pPr>
              <w:rPr>
                <w:sz w:val="25"/>
                <w:szCs w:val="25"/>
              </w:rPr>
            </w:pPr>
          </w:p>
        </w:tc>
        <w:tc>
          <w:tcPr>
            <w:tcW w:w="1404" w:type="pct"/>
            <w:vMerge/>
            <w:tcBorders>
              <w:bottom w:val="single" w:sz="12" w:space="0" w:color="auto"/>
            </w:tcBorders>
            <w:vAlign w:val="center"/>
            <w:hideMark/>
          </w:tcPr>
          <w:p w14:paraId="029F50D6" w14:textId="77777777" w:rsidR="00FE0E83" w:rsidRPr="006D3B9D" w:rsidRDefault="00FE0E83" w:rsidP="004A2490">
            <w:pPr>
              <w:rPr>
                <w:sz w:val="25"/>
                <w:szCs w:val="25"/>
              </w:rPr>
            </w:pPr>
          </w:p>
        </w:tc>
        <w:tc>
          <w:tcPr>
            <w:tcW w:w="271" w:type="pct"/>
            <w:vMerge/>
            <w:tcBorders>
              <w:bottom w:val="single" w:sz="12" w:space="0" w:color="auto"/>
            </w:tcBorders>
            <w:vAlign w:val="center"/>
          </w:tcPr>
          <w:p w14:paraId="34ECC87B" w14:textId="77777777" w:rsidR="00FE0E83" w:rsidRPr="006D3B9D" w:rsidRDefault="00FE0E83" w:rsidP="004A2490">
            <w:pPr>
              <w:rPr>
                <w:sz w:val="25"/>
                <w:szCs w:val="25"/>
              </w:rPr>
            </w:pPr>
          </w:p>
        </w:tc>
        <w:tc>
          <w:tcPr>
            <w:tcW w:w="259" w:type="pct"/>
            <w:vMerge/>
            <w:tcBorders>
              <w:bottom w:val="single" w:sz="12" w:space="0" w:color="auto"/>
            </w:tcBorders>
            <w:vAlign w:val="center"/>
          </w:tcPr>
          <w:p w14:paraId="7AD3ED00" w14:textId="77777777" w:rsidR="00FE0E83" w:rsidRPr="006D3B9D" w:rsidRDefault="00FE0E83" w:rsidP="004A2490">
            <w:pPr>
              <w:rPr>
                <w:sz w:val="25"/>
                <w:szCs w:val="25"/>
              </w:rPr>
            </w:pPr>
          </w:p>
        </w:tc>
        <w:tc>
          <w:tcPr>
            <w:tcW w:w="227" w:type="pct"/>
            <w:vMerge/>
            <w:tcBorders>
              <w:bottom w:val="single" w:sz="12" w:space="0" w:color="auto"/>
            </w:tcBorders>
            <w:vAlign w:val="center"/>
          </w:tcPr>
          <w:p w14:paraId="2F38136F" w14:textId="77777777" w:rsidR="00FE0E83" w:rsidRPr="006D3B9D" w:rsidRDefault="00FE0E83" w:rsidP="004A2490">
            <w:pPr>
              <w:rPr>
                <w:sz w:val="25"/>
                <w:szCs w:val="25"/>
              </w:rPr>
            </w:pPr>
          </w:p>
        </w:tc>
        <w:tc>
          <w:tcPr>
            <w:tcW w:w="878" w:type="pct"/>
            <w:vMerge/>
            <w:tcBorders>
              <w:bottom w:val="single" w:sz="12" w:space="0" w:color="auto"/>
            </w:tcBorders>
            <w:vAlign w:val="center"/>
          </w:tcPr>
          <w:p w14:paraId="67FCA737"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6D3B9D" w:rsidRDefault="00FE0E83" w:rsidP="004A2490">
            <w:pPr>
              <w:rPr>
                <w:sz w:val="25"/>
                <w:szCs w:val="25"/>
              </w:rPr>
            </w:pPr>
          </w:p>
        </w:tc>
      </w:tr>
      <w:tr w:rsidR="00FE0E83" w:rsidRPr="006D3B9D" w14:paraId="6A00796A" w14:textId="77777777" w:rsidTr="00D13535">
        <w:trPr>
          <w:trHeight w:val="287"/>
        </w:trPr>
        <w:tc>
          <w:tcPr>
            <w:tcW w:w="814" w:type="pct"/>
            <w:vMerge/>
            <w:tcBorders>
              <w:left w:val="single" w:sz="12" w:space="0" w:color="auto"/>
              <w:bottom w:val="single" w:sz="12" w:space="0" w:color="auto"/>
            </w:tcBorders>
            <w:vAlign w:val="center"/>
            <w:hideMark/>
          </w:tcPr>
          <w:p w14:paraId="4D7990E9" w14:textId="77777777" w:rsidR="00FE0E83" w:rsidRPr="006D3B9D" w:rsidRDefault="00FE0E83" w:rsidP="004A2490">
            <w:pPr>
              <w:rPr>
                <w:sz w:val="25"/>
                <w:szCs w:val="25"/>
              </w:rPr>
            </w:pPr>
          </w:p>
        </w:tc>
        <w:tc>
          <w:tcPr>
            <w:tcW w:w="1404" w:type="pct"/>
            <w:vMerge/>
            <w:tcBorders>
              <w:bottom w:val="single" w:sz="12" w:space="0" w:color="auto"/>
            </w:tcBorders>
            <w:vAlign w:val="center"/>
            <w:hideMark/>
          </w:tcPr>
          <w:p w14:paraId="4BB910F6" w14:textId="77777777" w:rsidR="00FE0E83" w:rsidRPr="006D3B9D" w:rsidRDefault="00FE0E83" w:rsidP="004A2490">
            <w:pPr>
              <w:rPr>
                <w:sz w:val="25"/>
                <w:szCs w:val="25"/>
              </w:rPr>
            </w:pPr>
          </w:p>
        </w:tc>
        <w:tc>
          <w:tcPr>
            <w:tcW w:w="271" w:type="pct"/>
            <w:vMerge/>
            <w:tcBorders>
              <w:bottom w:val="single" w:sz="12" w:space="0" w:color="auto"/>
            </w:tcBorders>
            <w:vAlign w:val="center"/>
          </w:tcPr>
          <w:p w14:paraId="15CC90CD" w14:textId="77777777" w:rsidR="00FE0E83" w:rsidRPr="006D3B9D" w:rsidRDefault="00FE0E83" w:rsidP="004A2490">
            <w:pPr>
              <w:rPr>
                <w:sz w:val="25"/>
                <w:szCs w:val="25"/>
              </w:rPr>
            </w:pPr>
          </w:p>
        </w:tc>
        <w:tc>
          <w:tcPr>
            <w:tcW w:w="259" w:type="pct"/>
            <w:vMerge/>
            <w:tcBorders>
              <w:bottom w:val="single" w:sz="12" w:space="0" w:color="auto"/>
            </w:tcBorders>
            <w:vAlign w:val="center"/>
          </w:tcPr>
          <w:p w14:paraId="63DBBD5F" w14:textId="77777777" w:rsidR="00FE0E83" w:rsidRPr="006D3B9D" w:rsidRDefault="00FE0E83" w:rsidP="004A2490">
            <w:pPr>
              <w:rPr>
                <w:sz w:val="25"/>
                <w:szCs w:val="25"/>
              </w:rPr>
            </w:pPr>
          </w:p>
        </w:tc>
        <w:tc>
          <w:tcPr>
            <w:tcW w:w="227" w:type="pct"/>
            <w:vMerge/>
            <w:tcBorders>
              <w:bottom w:val="single" w:sz="12" w:space="0" w:color="auto"/>
            </w:tcBorders>
            <w:vAlign w:val="center"/>
          </w:tcPr>
          <w:p w14:paraId="7FFCC87D" w14:textId="77777777" w:rsidR="00FE0E83" w:rsidRPr="006D3B9D" w:rsidRDefault="00FE0E83" w:rsidP="004A2490">
            <w:pPr>
              <w:rPr>
                <w:sz w:val="25"/>
                <w:szCs w:val="25"/>
              </w:rPr>
            </w:pPr>
          </w:p>
        </w:tc>
        <w:tc>
          <w:tcPr>
            <w:tcW w:w="878" w:type="pct"/>
            <w:vMerge/>
            <w:tcBorders>
              <w:bottom w:val="single" w:sz="12" w:space="0" w:color="auto"/>
            </w:tcBorders>
            <w:vAlign w:val="center"/>
          </w:tcPr>
          <w:p w14:paraId="7F906031"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6D3B9D" w:rsidRDefault="00FE0E83" w:rsidP="004A2490">
            <w:pPr>
              <w:rPr>
                <w:sz w:val="25"/>
                <w:szCs w:val="25"/>
              </w:rPr>
            </w:pPr>
          </w:p>
        </w:tc>
      </w:tr>
      <w:tr w:rsidR="00FE0E83" w:rsidRPr="006D3B9D" w14:paraId="41B4B74F" w14:textId="77777777" w:rsidTr="00D13535">
        <w:trPr>
          <w:trHeight w:val="287"/>
        </w:trPr>
        <w:tc>
          <w:tcPr>
            <w:tcW w:w="814" w:type="pct"/>
            <w:vMerge/>
            <w:tcBorders>
              <w:left w:val="single" w:sz="12" w:space="0" w:color="auto"/>
              <w:bottom w:val="single" w:sz="12" w:space="0" w:color="auto"/>
            </w:tcBorders>
            <w:vAlign w:val="center"/>
            <w:hideMark/>
          </w:tcPr>
          <w:p w14:paraId="2F3EB64B" w14:textId="77777777" w:rsidR="00FE0E83" w:rsidRPr="006D3B9D" w:rsidRDefault="00FE0E83" w:rsidP="004A2490">
            <w:pPr>
              <w:rPr>
                <w:sz w:val="25"/>
                <w:szCs w:val="25"/>
              </w:rPr>
            </w:pPr>
          </w:p>
        </w:tc>
        <w:tc>
          <w:tcPr>
            <w:tcW w:w="1404" w:type="pct"/>
            <w:vMerge/>
            <w:tcBorders>
              <w:bottom w:val="single" w:sz="12" w:space="0" w:color="auto"/>
            </w:tcBorders>
            <w:vAlign w:val="center"/>
            <w:hideMark/>
          </w:tcPr>
          <w:p w14:paraId="13E42C79" w14:textId="77777777" w:rsidR="00FE0E83" w:rsidRPr="006D3B9D" w:rsidRDefault="00FE0E83" w:rsidP="004A2490">
            <w:pPr>
              <w:rPr>
                <w:sz w:val="25"/>
                <w:szCs w:val="25"/>
              </w:rPr>
            </w:pPr>
          </w:p>
        </w:tc>
        <w:tc>
          <w:tcPr>
            <w:tcW w:w="271" w:type="pct"/>
            <w:vMerge/>
            <w:tcBorders>
              <w:bottom w:val="single" w:sz="12" w:space="0" w:color="auto"/>
            </w:tcBorders>
            <w:vAlign w:val="center"/>
          </w:tcPr>
          <w:p w14:paraId="338ACD8A" w14:textId="77777777" w:rsidR="00FE0E83" w:rsidRPr="006D3B9D" w:rsidRDefault="00FE0E83" w:rsidP="004A2490">
            <w:pPr>
              <w:rPr>
                <w:sz w:val="25"/>
                <w:szCs w:val="25"/>
              </w:rPr>
            </w:pPr>
          </w:p>
        </w:tc>
        <w:tc>
          <w:tcPr>
            <w:tcW w:w="259" w:type="pct"/>
            <w:vMerge/>
            <w:tcBorders>
              <w:bottom w:val="single" w:sz="12" w:space="0" w:color="auto"/>
            </w:tcBorders>
            <w:vAlign w:val="center"/>
          </w:tcPr>
          <w:p w14:paraId="6EFBE7B8" w14:textId="77777777" w:rsidR="00FE0E83" w:rsidRPr="006D3B9D" w:rsidRDefault="00FE0E83" w:rsidP="004A2490">
            <w:pPr>
              <w:rPr>
                <w:sz w:val="25"/>
                <w:szCs w:val="25"/>
              </w:rPr>
            </w:pPr>
          </w:p>
        </w:tc>
        <w:tc>
          <w:tcPr>
            <w:tcW w:w="227" w:type="pct"/>
            <w:vMerge/>
            <w:tcBorders>
              <w:bottom w:val="single" w:sz="12" w:space="0" w:color="auto"/>
            </w:tcBorders>
            <w:vAlign w:val="center"/>
          </w:tcPr>
          <w:p w14:paraId="50F56DB6" w14:textId="77777777" w:rsidR="00FE0E83" w:rsidRPr="006D3B9D" w:rsidRDefault="00FE0E83" w:rsidP="004A2490">
            <w:pPr>
              <w:rPr>
                <w:sz w:val="25"/>
                <w:szCs w:val="25"/>
              </w:rPr>
            </w:pPr>
          </w:p>
        </w:tc>
        <w:tc>
          <w:tcPr>
            <w:tcW w:w="878" w:type="pct"/>
            <w:vMerge/>
            <w:tcBorders>
              <w:bottom w:val="single" w:sz="12" w:space="0" w:color="auto"/>
            </w:tcBorders>
            <w:vAlign w:val="center"/>
          </w:tcPr>
          <w:p w14:paraId="444BF442" w14:textId="77777777" w:rsidR="00FE0E83" w:rsidRPr="006D3B9D" w:rsidRDefault="00FE0E83" w:rsidP="004A2490">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6D3B9D" w:rsidRDefault="00FE0E83" w:rsidP="004A2490">
            <w:pPr>
              <w:rPr>
                <w:sz w:val="25"/>
                <w:szCs w:val="25"/>
              </w:rPr>
            </w:pPr>
          </w:p>
        </w:tc>
      </w:tr>
    </w:tbl>
    <w:p w14:paraId="77CA1287" w14:textId="77777777" w:rsidR="002536F2" w:rsidRPr="006D3B9D" w:rsidRDefault="002536F2" w:rsidP="00D4588A">
      <w:pPr>
        <w:jc w:val="both"/>
        <w:rPr>
          <w:sz w:val="25"/>
          <w:szCs w:val="25"/>
        </w:rPr>
      </w:pPr>
    </w:p>
    <w:p w14:paraId="39649DB7" w14:textId="77777777" w:rsidR="00FE0E83" w:rsidRPr="006D3B9D" w:rsidRDefault="00FE0E83" w:rsidP="00D4588A">
      <w:pPr>
        <w:jc w:val="both"/>
        <w:rPr>
          <w:sz w:val="25"/>
          <w:szCs w:val="25"/>
        </w:rPr>
      </w:pPr>
    </w:p>
    <w:p w14:paraId="45798B68" w14:textId="492BA2F8" w:rsidR="00284832" w:rsidRPr="006D3B9D"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Отже, надана кандидат</w:t>
      </w:r>
      <w:r w:rsidR="00F95306" w:rsidRPr="006D3B9D">
        <w:rPr>
          <w:sz w:val="25"/>
          <w:szCs w:val="25"/>
        </w:rPr>
        <w:t>кою</w:t>
      </w:r>
      <w:r w:rsidRPr="006D3B9D">
        <w:rPr>
          <w:sz w:val="25"/>
          <w:szCs w:val="25"/>
        </w:rPr>
        <w:t xml:space="preserve"> інформація </w:t>
      </w:r>
      <w:r w:rsidR="00570539" w:rsidRPr="006D3B9D">
        <w:rPr>
          <w:sz w:val="25"/>
          <w:szCs w:val="25"/>
        </w:rPr>
        <w:t>в письмових поясненнях</w:t>
      </w:r>
      <w:r w:rsidRPr="006D3B9D">
        <w:rPr>
          <w:sz w:val="25"/>
          <w:szCs w:val="25"/>
        </w:rPr>
        <w:t xml:space="preserve"> та під час співбесіди продемонструва</w:t>
      </w:r>
      <w:r w:rsidR="00570539" w:rsidRPr="006D3B9D">
        <w:rPr>
          <w:sz w:val="25"/>
          <w:szCs w:val="25"/>
        </w:rPr>
        <w:t>ла</w:t>
      </w:r>
      <w:r w:rsidRPr="006D3B9D">
        <w:rPr>
          <w:sz w:val="25"/>
          <w:szCs w:val="25"/>
        </w:rPr>
        <w:t xml:space="preserve"> належний рівень рішучості, відповідальності та безперервного розвитку.</w:t>
      </w:r>
    </w:p>
    <w:p w14:paraId="74C6F64F" w14:textId="6A251F4E" w:rsidR="000746B3" w:rsidRPr="006D3B9D"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w:t>
      </w:r>
      <w:r w:rsidR="006573E8" w:rsidRPr="006D3B9D">
        <w:rPr>
          <w:sz w:val="25"/>
          <w:szCs w:val="25"/>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6D3B9D">
        <w:rPr>
          <w:sz w:val="25"/>
          <w:szCs w:val="25"/>
        </w:rPr>
        <w:t xml:space="preserve"> </w:t>
      </w:r>
      <w:r w:rsidR="00D43B16" w:rsidRPr="006D3B9D">
        <w:rPr>
          <w:sz w:val="25"/>
          <w:szCs w:val="25"/>
        </w:rPr>
        <w:t>Колегії</w:t>
      </w:r>
      <w:r w:rsidR="006573E8" w:rsidRPr="006D3B9D">
        <w:rPr>
          <w:sz w:val="25"/>
          <w:szCs w:val="25"/>
        </w:rPr>
        <w:t xml:space="preserve"> за відповідними показниками </w:t>
      </w:r>
      <w:r w:rsidR="00FA5DAE" w:rsidRPr="006D3B9D">
        <w:rPr>
          <w:sz w:val="25"/>
          <w:szCs w:val="25"/>
        </w:rPr>
        <w:t>с</w:t>
      </w:r>
      <w:r w:rsidR="006573E8" w:rsidRPr="006D3B9D">
        <w:rPr>
          <w:sz w:val="25"/>
          <w:szCs w:val="25"/>
        </w:rPr>
        <w:t>умарний бал, отриманий за цим критерієм</w:t>
      </w:r>
      <w:r w:rsidRPr="006D3B9D">
        <w:rPr>
          <w:sz w:val="25"/>
          <w:szCs w:val="25"/>
        </w:rPr>
        <w:t xml:space="preserve">, </w:t>
      </w:r>
      <w:r w:rsidR="006573E8" w:rsidRPr="006D3B9D">
        <w:rPr>
          <w:sz w:val="25"/>
          <w:szCs w:val="25"/>
        </w:rPr>
        <w:t xml:space="preserve">становить </w:t>
      </w:r>
      <w:r w:rsidR="000D2430" w:rsidRPr="006D3B9D">
        <w:rPr>
          <w:sz w:val="25"/>
          <w:szCs w:val="25"/>
        </w:rPr>
        <w:t>40</w:t>
      </w:r>
      <w:r w:rsidR="00F70E6A" w:rsidRPr="006D3B9D">
        <w:rPr>
          <w:sz w:val="25"/>
          <w:szCs w:val="25"/>
        </w:rPr>
        <w:t> </w:t>
      </w:r>
      <w:r w:rsidR="006573E8" w:rsidRPr="006D3B9D">
        <w:rPr>
          <w:sz w:val="25"/>
          <w:szCs w:val="25"/>
        </w:rPr>
        <w:t>бал</w:t>
      </w:r>
      <w:r w:rsidR="00F95306" w:rsidRPr="006D3B9D">
        <w:rPr>
          <w:sz w:val="25"/>
          <w:szCs w:val="25"/>
        </w:rPr>
        <w:t>ів</w:t>
      </w:r>
      <w:r w:rsidR="006573E8" w:rsidRPr="006D3B9D">
        <w:rPr>
          <w:sz w:val="25"/>
          <w:szCs w:val="25"/>
        </w:rPr>
        <w:t xml:space="preserve"> із 50 можливих, що </w:t>
      </w:r>
      <w:r w:rsidR="00E402AA" w:rsidRPr="006D3B9D">
        <w:rPr>
          <w:sz w:val="25"/>
          <w:szCs w:val="25"/>
        </w:rPr>
        <w:t>становить</w:t>
      </w:r>
      <w:r w:rsidR="006573E8" w:rsidRPr="006D3B9D">
        <w:rPr>
          <w:sz w:val="25"/>
          <w:szCs w:val="25"/>
        </w:rPr>
        <w:t xml:space="preserve"> 75% (37,5 </w:t>
      </w:r>
      <w:proofErr w:type="spellStart"/>
      <w:r w:rsidR="006573E8" w:rsidRPr="006D3B9D">
        <w:rPr>
          <w:sz w:val="25"/>
          <w:szCs w:val="25"/>
        </w:rPr>
        <w:t>бала</w:t>
      </w:r>
      <w:proofErr w:type="spellEnd"/>
      <w:r w:rsidR="006573E8" w:rsidRPr="006D3B9D">
        <w:rPr>
          <w:sz w:val="25"/>
          <w:szCs w:val="25"/>
        </w:rPr>
        <w:t xml:space="preserve">), </w:t>
      </w:r>
      <w:r w:rsidR="00FA5DAE" w:rsidRPr="006D3B9D">
        <w:rPr>
          <w:sz w:val="25"/>
          <w:szCs w:val="25"/>
        </w:rPr>
        <w:t>тому Комісія виснує, що кандидат</w:t>
      </w:r>
      <w:r w:rsidR="00F95306" w:rsidRPr="006D3B9D">
        <w:rPr>
          <w:sz w:val="25"/>
          <w:szCs w:val="25"/>
        </w:rPr>
        <w:t>ка</w:t>
      </w:r>
      <w:r w:rsidR="000746B3" w:rsidRPr="006D3B9D">
        <w:rPr>
          <w:sz w:val="25"/>
          <w:szCs w:val="25"/>
        </w:rPr>
        <w:t xml:space="preserve"> підтверди</w:t>
      </w:r>
      <w:r w:rsidR="00F95306" w:rsidRPr="006D3B9D">
        <w:rPr>
          <w:sz w:val="25"/>
          <w:szCs w:val="25"/>
        </w:rPr>
        <w:t>ла</w:t>
      </w:r>
      <w:r w:rsidR="000746B3" w:rsidRPr="006D3B9D">
        <w:rPr>
          <w:sz w:val="25"/>
          <w:szCs w:val="25"/>
        </w:rPr>
        <w:t xml:space="preserve"> </w:t>
      </w:r>
      <w:r w:rsidR="000746B3" w:rsidRPr="006D3B9D">
        <w:rPr>
          <w:sz w:val="25"/>
          <w:szCs w:val="25"/>
        </w:rPr>
        <w:lastRenderedPageBreak/>
        <w:t>здатн</w:t>
      </w:r>
      <w:r w:rsidR="00E402AA" w:rsidRPr="006D3B9D">
        <w:rPr>
          <w:sz w:val="25"/>
          <w:szCs w:val="25"/>
        </w:rPr>
        <w:t>і</w:t>
      </w:r>
      <w:r w:rsidR="000746B3" w:rsidRPr="006D3B9D">
        <w:rPr>
          <w:sz w:val="25"/>
          <w:szCs w:val="25"/>
        </w:rPr>
        <w:t>ст</w:t>
      </w:r>
      <w:r w:rsidR="00C553B9" w:rsidRPr="006D3B9D">
        <w:rPr>
          <w:sz w:val="25"/>
          <w:szCs w:val="25"/>
        </w:rPr>
        <w:t>ь</w:t>
      </w:r>
      <w:r w:rsidR="000746B3" w:rsidRPr="006D3B9D">
        <w:rPr>
          <w:sz w:val="25"/>
          <w:szCs w:val="25"/>
        </w:rPr>
        <w:t xml:space="preserve"> здійснювати правосуддя в апеляційном</w:t>
      </w:r>
      <w:r w:rsidR="004539D2" w:rsidRPr="006D3B9D">
        <w:rPr>
          <w:sz w:val="25"/>
          <w:szCs w:val="25"/>
        </w:rPr>
        <w:t>у</w:t>
      </w:r>
      <w:r w:rsidR="000746B3" w:rsidRPr="006D3B9D">
        <w:rPr>
          <w:sz w:val="25"/>
          <w:szCs w:val="25"/>
        </w:rPr>
        <w:t xml:space="preserve"> </w:t>
      </w:r>
      <w:r w:rsidR="004539D2" w:rsidRPr="006D3B9D">
        <w:rPr>
          <w:sz w:val="25"/>
          <w:szCs w:val="25"/>
        </w:rPr>
        <w:t>загальному</w:t>
      </w:r>
      <w:r w:rsidR="000746B3" w:rsidRPr="006D3B9D">
        <w:rPr>
          <w:sz w:val="25"/>
          <w:szCs w:val="25"/>
        </w:rPr>
        <w:t xml:space="preserve"> суді за критерієм особистої компетентності. </w:t>
      </w:r>
    </w:p>
    <w:p w14:paraId="3B674051" w14:textId="61AAC063" w:rsidR="00AE0242" w:rsidRPr="006D3B9D" w:rsidRDefault="00FA5DAE" w:rsidP="007E0F0D">
      <w:pPr>
        <w:jc w:val="both"/>
        <w:rPr>
          <w:b/>
          <w:sz w:val="25"/>
          <w:szCs w:val="25"/>
        </w:rPr>
      </w:pPr>
      <w:r w:rsidRPr="006D3B9D">
        <w:rPr>
          <w:b/>
          <w:sz w:val="25"/>
          <w:szCs w:val="25"/>
        </w:rPr>
        <w:t>V-І</w:t>
      </w:r>
      <w:r w:rsidR="009C7D49" w:rsidRPr="006D3B9D">
        <w:rPr>
          <w:b/>
          <w:sz w:val="25"/>
          <w:szCs w:val="25"/>
        </w:rPr>
        <w:t>І</w:t>
      </w:r>
      <w:r w:rsidRPr="006D3B9D">
        <w:rPr>
          <w:b/>
          <w:sz w:val="25"/>
          <w:szCs w:val="25"/>
        </w:rPr>
        <w:t xml:space="preserve">І. Встановлення відповідності кандидата критерію </w:t>
      </w:r>
      <w:r w:rsidR="00570539" w:rsidRPr="006D3B9D">
        <w:rPr>
          <w:b/>
          <w:sz w:val="25"/>
          <w:szCs w:val="25"/>
        </w:rPr>
        <w:t xml:space="preserve">соціальної </w:t>
      </w:r>
      <w:r w:rsidRPr="006D3B9D">
        <w:rPr>
          <w:b/>
          <w:sz w:val="25"/>
          <w:szCs w:val="25"/>
        </w:rPr>
        <w:t>компетентності.</w:t>
      </w:r>
    </w:p>
    <w:p w14:paraId="0E231FE4" w14:textId="77777777" w:rsidR="00FA5DAE" w:rsidRPr="006D3B9D" w:rsidRDefault="00FA5DAE" w:rsidP="006573E8">
      <w:pPr>
        <w:spacing w:after="75"/>
        <w:jc w:val="both"/>
        <w:rPr>
          <w:b/>
          <w:sz w:val="25"/>
          <w:szCs w:val="25"/>
        </w:rPr>
      </w:pPr>
    </w:p>
    <w:p w14:paraId="19B7516E" w14:textId="641B6D87" w:rsidR="00FA5DAE" w:rsidRPr="006D3B9D" w:rsidRDefault="00F9530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Згідно з</w:t>
      </w:r>
      <w:r w:rsidR="00FA5DAE" w:rsidRPr="006D3B9D">
        <w:rPr>
          <w:sz w:val="25"/>
          <w:szCs w:val="25"/>
        </w:rPr>
        <w:t xml:space="preserve"> п</w:t>
      </w:r>
      <w:r w:rsidR="00570539" w:rsidRPr="006D3B9D">
        <w:rPr>
          <w:sz w:val="25"/>
          <w:szCs w:val="25"/>
        </w:rPr>
        <w:t>ункт</w:t>
      </w:r>
      <w:r w:rsidRPr="006D3B9D">
        <w:rPr>
          <w:sz w:val="25"/>
          <w:szCs w:val="25"/>
        </w:rPr>
        <w:t>ом</w:t>
      </w:r>
      <w:r w:rsidR="00FA5DAE" w:rsidRPr="006D3B9D">
        <w:rPr>
          <w:sz w:val="25"/>
          <w:szCs w:val="25"/>
        </w:rPr>
        <w:t xml:space="preserve"> 2.8–2.12 Положення про кваліфікаційне оцінювання соціальна компетентність </w:t>
      </w:r>
      <w:r w:rsidR="000B36F3" w:rsidRPr="006D3B9D">
        <w:rPr>
          <w:sz w:val="25"/>
          <w:szCs w:val="25"/>
        </w:rPr>
        <w:t>‒</w:t>
      </w:r>
      <w:r w:rsidR="00FA5DAE" w:rsidRPr="006D3B9D">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6D3B9D">
        <w:rPr>
          <w:sz w:val="25"/>
          <w:szCs w:val="25"/>
        </w:rPr>
        <w:t>що</w:t>
      </w:r>
      <w:r w:rsidR="00FA5DAE" w:rsidRPr="006D3B9D">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6D3B9D"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6D3B9D">
        <w:rPr>
          <w:sz w:val="25"/>
          <w:szCs w:val="25"/>
        </w:rPr>
        <w:t>ю</w:t>
      </w:r>
      <w:r w:rsidRPr="006D3B9D">
        <w:rPr>
          <w:sz w:val="25"/>
          <w:szCs w:val="25"/>
        </w:rPr>
        <w:t xml:space="preserve"> соціальної компетентності:</w:t>
      </w:r>
    </w:p>
    <w:p w14:paraId="07E39360" w14:textId="15A55DF8" w:rsidR="00FA5DAE" w:rsidRPr="006D3B9D"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Ефективна комунікація </w:t>
      </w:r>
      <w:r w:rsidR="000B36F3" w:rsidRPr="006D3B9D">
        <w:rPr>
          <w:sz w:val="25"/>
          <w:szCs w:val="25"/>
        </w:rPr>
        <w:t>‒</w:t>
      </w:r>
      <w:r w:rsidRPr="006D3B9D">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6D3B9D"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Ефективна взаємодія </w:t>
      </w:r>
      <w:r w:rsidR="000B36F3" w:rsidRPr="006D3B9D">
        <w:rPr>
          <w:sz w:val="25"/>
          <w:szCs w:val="25"/>
        </w:rPr>
        <w:t>‒</w:t>
      </w:r>
      <w:r w:rsidRPr="006D3B9D">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6D3B9D"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Стійкість мотивації </w:t>
      </w:r>
      <w:r w:rsidR="000B36F3" w:rsidRPr="006D3B9D">
        <w:rPr>
          <w:sz w:val="25"/>
          <w:szCs w:val="25"/>
        </w:rPr>
        <w:t>‒</w:t>
      </w:r>
      <w:r w:rsidRPr="006D3B9D">
        <w:rPr>
          <w:sz w:val="25"/>
          <w:szCs w:val="25"/>
        </w:rPr>
        <w:t xml:space="preserve"> це усвідомлена мотивація кандидата на посаду судді до тривалого виконання професійних </w:t>
      </w:r>
      <w:r w:rsidR="00917E17" w:rsidRPr="006D3B9D">
        <w:rPr>
          <w:sz w:val="25"/>
          <w:szCs w:val="25"/>
        </w:rPr>
        <w:t>обов’язків</w:t>
      </w:r>
      <w:r w:rsidRPr="006D3B9D">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0EEF7D74" w:rsidR="00FA5DAE" w:rsidRPr="006D3B9D"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Емоційна стійкість </w:t>
      </w:r>
      <w:r w:rsidR="000B36F3" w:rsidRPr="006D3B9D">
        <w:rPr>
          <w:sz w:val="25"/>
          <w:szCs w:val="25"/>
        </w:rPr>
        <w:t>‒</w:t>
      </w:r>
      <w:r w:rsidRPr="006D3B9D">
        <w:rPr>
          <w:sz w:val="25"/>
          <w:szCs w:val="25"/>
        </w:rPr>
        <w:t xml:space="preserve"> це здатність кандидата на посаду судді ефективно управляти своїми емоційними станами. </w:t>
      </w:r>
      <w:r w:rsidR="003C2B46" w:rsidRPr="006D3B9D">
        <w:rPr>
          <w:sz w:val="25"/>
          <w:szCs w:val="25"/>
        </w:rPr>
        <w:t>К</w:t>
      </w:r>
      <w:r w:rsidRPr="006D3B9D">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w:t>
      </w:r>
      <w:r w:rsidRPr="006D3B9D">
        <w:rPr>
          <w:sz w:val="25"/>
          <w:szCs w:val="25"/>
        </w:rPr>
        <w:lastRenderedPageBreak/>
        <w:t xml:space="preserve">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F95306" w:rsidRPr="006D3B9D">
        <w:rPr>
          <w:sz w:val="25"/>
          <w:szCs w:val="25"/>
        </w:rPr>
        <w:t>у</w:t>
      </w:r>
      <w:r w:rsidRPr="006D3B9D">
        <w:rPr>
          <w:sz w:val="25"/>
          <w:szCs w:val="25"/>
        </w:rPr>
        <w:t xml:space="preserve"> тому числі </w:t>
      </w:r>
      <w:r w:rsidR="000B36F3" w:rsidRPr="006D3B9D">
        <w:rPr>
          <w:sz w:val="25"/>
          <w:szCs w:val="25"/>
        </w:rPr>
        <w:t xml:space="preserve">на </w:t>
      </w:r>
      <w:r w:rsidRPr="006D3B9D">
        <w:rPr>
          <w:sz w:val="25"/>
          <w:szCs w:val="25"/>
        </w:rPr>
        <w:t>складні та провокаційні (зокрема, щодо статків, доходів, доброчесності).</w:t>
      </w:r>
    </w:p>
    <w:p w14:paraId="2156A9FE" w14:textId="42D52781" w:rsidR="003C2B46" w:rsidRPr="006D3B9D"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Пунктом 5.5 Положення про кваліфікаційне оцінювання </w:t>
      </w:r>
      <w:r w:rsidR="000B36F3" w:rsidRPr="006D3B9D">
        <w:rPr>
          <w:sz w:val="25"/>
          <w:szCs w:val="25"/>
        </w:rPr>
        <w:t>визначено</w:t>
      </w:r>
      <w:r w:rsidRPr="006D3B9D">
        <w:rPr>
          <w:sz w:val="25"/>
          <w:szCs w:val="25"/>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6D3B9D">
        <w:rPr>
          <w:sz w:val="25"/>
          <w:szCs w:val="25"/>
        </w:rPr>
        <w:t>.</w:t>
      </w:r>
    </w:p>
    <w:p w14:paraId="42B6A67C" w14:textId="1E5DA566" w:rsidR="003C2B46" w:rsidRPr="006D3B9D"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6D3B9D">
        <w:rPr>
          <w:sz w:val="25"/>
          <w:szCs w:val="25"/>
        </w:rPr>
        <w:t>‒</w:t>
      </w:r>
      <w:r w:rsidRPr="006D3B9D">
        <w:rPr>
          <w:sz w:val="25"/>
          <w:szCs w:val="25"/>
        </w:rPr>
        <w:t xml:space="preserve"> 50 балів, з яких:</w:t>
      </w:r>
      <w:bookmarkStart w:id="6" w:name="146"/>
      <w:bookmarkEnd w:id="6"/>
      <w:r w:rsidRPr="006D3B9D">
        <w:rPr>
          <w:sz w:val="25"/>
          <w:szCs w:val="25"/>
        </w:rPr>
        <w:t xml:space="preserve"> ефективна комунікація </w:t>
      </w:r>
      <w:r w:rsidR="000B36F3" w:rsidRPr="006D3B9D">
        <w:rPr>
          <w:sz w:val="25"/>
          <w:szCs w:val="25"/>
        </w:rPr>
        <w:t>‒</w:t>
      </w:r>
      <w:r w:rsidRPr="006D3B9D">
        <w:rPr>
          <w:sz w:val="25"/>
          <w:szCs w:val="25"/>
        </w:rPr>
        <w:t xml:space="preserve"> 12,5</w:t>
      </w:r>
      <w:r w:rsidR="00891FF6" w:rsidRPr="006D3B9D">
        <w:rPr>
          <w:sz w:val="25"/>
          <w:szCs w:val="25"/>
        </w:rPr>
        <w:t> </w:t>
      </w:r>
      <w:proofErr w:type="spellStart"/>
      <w:r w:rsidRPr="006D3B9D">
        <w:rPr>
          <w:sz w:val="25"/>
          <w:szCs w:val="25"/>
        </w:rPr>
        <w:t>бала</w:t>
      </w:r>
      <w:bookmarkStart w:id="7" w:name="147"/>
      <w:bookmarkEnd w:id="7"/>
      <w:proofErr w:type="spellEnd"/>
      <w:r w:rsidRPr="006D3B9D">
        <w:rPr>
          <w:sz w:val="25"/>
          <w:szCs w:val="25"/>
        </w:rPr>
        <w:t xml:space="preserve">; ефективна взаємодія </w:t>
      </w:r>
      <w:r w:rsidR="000B36F3" w:rsidRPr="006D3B9D">
        <w:rPr>
          <w:sz w:val="25"/>
          <w:szCs w:val="25"/>
        </w:rPr>
        <w:t>‒</w:t>
      </w:r>
      <w:r w:rsidRPr="006D3B9D">
        <w:rPr>
          <w:sz w:val="25"/>
          <w:szCs w:val="25"/>
        </w:rPr>
        <w:t xml:space="preserve"> 12,5 </w:t>
      </w:r>
      <w:proofErr w:type="spellStart"/>
      <w:r w:rsidRPr="006D3B9D">
        <w:rPr>
          <w:sz w:val="25"/>
          <w:szCs w:val="25"/>
        </w:rPr>
        <w:t>бала</w:t>
      </w:r>
      <w:bookmarkStart w:id="8" w:name="148"/>
      <w:bookmarkEnd w:id="8"/>
      <w:proofErr w:type="spellEnd"/>
      <w:r w:rsidRPr="006D3B9D">
        <w:rPr>
          <w:sz w:val="25"/>
          <w:szCs w:val="25"/>
        </w:rPr>
        <w:t xml:space="preserve">; стійкість мотивації </w:t>
      </w:r>
      <w:r w:rsidR="000B36F3" w:rsidRPr="006D3B9D">
        <w:rPr>
          <w:sz w:val="25"/>
          <w:szCs w:val="25"/>
        </w:rPr>
        <w:t>‒</w:t>
      </w:r>
      <w:r w:rsidRPr="006D3B9D">
        <w:rPr>
          <w:sz w:val="25"/>
          <w:szCs w:val="25"/>
        </w:rPr>
        <w:t xml:space="preserve"> 12,5 </w:t>
      </w:r>
      <w:proofErr w:type="spellStart"/>
      <w:r w:rsidRPr="006D3B9D">
        <w:rPr>
          <w:sz w:val="25"/>
          <w:szCs w:val="25"/>
        </w:rPr>
        <w:t>бала</w:t>
      </w:r>
      <w:bookmarkStart w:id="9" w:name="149"/>
      <w:bookmarkEnd w:id="9"/>
      <w:proofErr w:type="spellEnd"/>
      <w:r w:rsidRPr="006D3B9D">
        <w:rPr>
          <w:sz w:val="25"/>
          <w:szCs w:val="25"/>
        </w:rPr>
        <w:t xml:space="preserve">; емоційна стійкість </w:t>
      </w:r>
      <w:r w:rsidR="000B36F3" w:rsidRPr="006D3B9D">
        <w:rPr>
          <w:sz w:val="25"/>
          <w:szCs w:val="25"/>
        </w:rPr>
        <w:t>‒</w:t>
      </w:r>
      <w:r w:rsidRPr="006D3B9D">
        <w:rPr>
          <w:sz w:val="25"/>
          <w:szCs w:val="25"/>
        </w:rPr>
        <w:t xml:space="preserve"> 12,5</w:t>
      </w:r>
      <w:r w:rsidR="00937D89" w:rsidRPr="006D3B9D">
        <w:rPr>
          <w:sz w:val="25"/>
          <w:szCs w:val="25"/>
        </w:rPr>
        <w:t> </w:t>
      </w:r>
      <w:proofErr w:type="spellStart"/>
      <w:r w:rsidRPr="006D3B9D">
        <w:rPr>
          <w:sz w:val="25"/>
          <w:szCs w:val="25"/>
        </w:rPr>
        <w:t>бала</w:t>
      </w:r>
      <w:proofErr w:type="spellEnd"/>
      <w:r w:rsidRPr="006D3B9D">
        <w:rPr>
          <w:sz w:val="25"/>
          <w:szCs w:val="25"/>
        </w:rPr>
        <w:t>.</w:t>
      </w:r>
      <w:bookmarkStart w:id="10" w:name="150"/>
      <w:bookmarkEnd w:id="10"/>
    </w:p>
    <w:p w14:paraId="7A9F99F8" w14:textId="06174BA9" w:rsidR="003C2B46" w:rsidRPr="006D3B9D"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Під час</w:t>
      </w:r>
      <w:r w:rsidR="003C2B46" w:rsidRPr="006D3B9D">
        <w:rPr>
          <w:sz w:val="25"/>
          <w:szCs w:val="25"/>
        </w:rPr>
        <w:t xml:space="preserve"> оцін</w:t>
      </w:r>
      <w:r w:rsidRPr="006D3B9D">
        <w:rPr>
          <w:sz w:val="25"/>
          <w:szCs w:val="25"/>
        </w:rPr>
        <w:t>ювання</w:t>
      </w:r>
      <w:r w:rsidR="003C2B46" w:rsidRPr="006D3B9D">
        <w:rPr>
          <w:sz w:val="25"/>
          <w:szCs w:val="25"/>
        </w:rPr>
        <w:t xml:space="preserve"> відповідності кандидата критерію соціальної компетентності саме на кандидата покладається </w:t>
      </w:r>
      <w:proofErr w:type="spellStart"/>
      <w:r w:rsidR="003C2B46" w:rsidRPr="006D3B9D">
        <w:rPr>
          <w:sz w:val="25"/>
          <w:szCs w:val="25"/>
        </w:rPr>
        <w:t>обовʼязок</w:t>
      </w:r>
      <w:proofErr w:type="spellEnd"/>
      <w:r w:rsidR="003C2B46" w:rsidRPr="006D3B9D">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6D3B9D">
        <w:rPr>
          <w:sz w:val="25"/>
          <w:szCs w:val="25"/>
        </w:rPr>
        <w:t>що</w:t>
      </w:r>
      <w:r w:rsidR="003C2B46" w:rsidRPr="006D3B9D">
        <w:rPr>
          <w:sz w:val="25"/>
          <w:szCs w:val="25"/>
        </w:rPr>
        <w:t xml:space="preserve"> мають значення для оцінки соціальн</w:t>
      </w:r>
      <w:r w:rsidRPr="006D3B9D">
        <w:rPr>
          <w:sz w:val="25"/>
          <w:szCs w:val="25"/>
        </w:rPr>
        <w:t>их</w:t>
      </w:r>
      <w:r w:rsidR="003C2B46" w:rsidRPr="006D3B9D">
        <w:rPr>
          <w:sz w:val="25"/>
          <w:szCs w:val="25"/>
        </w:rPr>
        <w:t xml:space="preserve"> </w:t>
      </w:r>
      <w:proofErr w:type="spellStart"/>
      <w:r w:rsidR="003C2B46" w:rsidRPr="006D3B9D">
        <w:rPr>
          <w:sz w:val="25"/>
          <w:szCs w:val="25"/>
        </w:rPr>
        <w:t>компетентностей</w:t>
      </w:r>
      <w:proofErr w:type="spellEnd"/>
      <w:r w:rsidR="003C2B46" w:rsidRPr="006D3B9D">
        <w:rPr>
          <w:sz w:val="25"/>
          <w:szCs w:val="25"/>
        </w:rPr>
        <w:t>.</w:t>
      </w:r>
    </w:p>
    <w:p w14:paraId="11EDA486" w14:textId="388524F1" w:rsidR="00F63BA2" w:rsidRPr="006D3B9D"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Таким чином, оцінювання кандидата за критерієм соціальної компетентності здійснюється за </w:t>
      </w:r>
      <w:r w:rsidR="00DA0B50" w:rsidRPr="006D3B9D">
        <w:rPr>
          <w:sz w:val="25"/>
          <w:szCs w:val="25"/>
        </w:rPr>
        <w:t xml:space="preserve">його </w:t>
      </w:r>
      <w:r w:rsidRPr="006D3B9D">
        <w:rPr>
          <w:sz w:val="25"/>
          <w:szCs w:val="25"/>
        </w:rPr>
        <w:t xml:space="preserve">активної участі </w:t>
      </w:r>
      <w:r w:rsidR="00F95306" w:rsidRPr="006D3B9D">
        <w:rPr>
          <w:sz w:val="25"/>
          <w:szCs w:val="25"/>
        </w:rPr>
        <w:t>в</w:t>
      </w:r>
      <w:r w:rsidRPr="006D3B9D">
        <w:rPr>
          <w:sz w:val="25"/>
          <w:szCs w:val="25"/>
        </w:rPr>
        <w:t xml:space="preserve"> підтвердженні </w:t>
      </w:r>
      <w:r w:rsidR="00DA0B50" w:rsidRPr="006D3B9D">
        <w:rPr>
          <w:sz w:val="25"/>
          <w:szCs w:val="25"/>
        </w:rPr>
        <w:t>своєї</w:t>
      </w:r>
      <w:r w:rsidRPr="006D3B9D">
        <w:rPr>
          <w:sz w:val="25"/>
          <w:szCs w:val="25"/>
        </w:rPr>
        <w:t xml:space="preserve"> відповідності встановлен</w:t>
      </w:r>
      <w:r w:rsidR="00F63BA2" w:rsidRPr="006D3B9D">
        <w:rPr>
          <w:sz w:val="25"/>
          <w:szCs w:val="25"/>
        </w:rPr>
        <w:t>им показникам</w:t>
      </w:r>
      <w:r w:rsidRPr="006D3B9D">
        <w:rPr>
          <w:sz w:val="25"/>
          <w:szCs w:val="25"/>
        </w:rPr>
        <w:t xml:space="preserve"> критері</w:t>
      </w:r>
      <w:r w:rsidR="00FA3F53" w:rsidRPr="006D3B9D">
        <w:rPr>
          <w:sz w:val="25"/>
          <w:szCs w:val="25"/>
        </w:rPr>
        <w:t>ю</w:t>
      </w:r>
      <w:r w:rsidRPr="006D3B9D">
        <w:rPr>
          <w:sz w:val="25"/>
          <w:szCs w:val="25"/>
        </w:rPr>
        <w:t xml:space="preserve">. Пасивна позиція або </w:t>
      </w:r>
      <w:r w:rsidR="00F63BA2" w:rsidRPr="006D3B9D">
        <w:rPr>
          <w:sz w:val="25"/>
          <w:szCs w:val="25"/>
        </w:rPr>
        <w:t>надання</w:t>
      </w:r>
      <w:r w:rsidRPr="006D3B9D">
        <w:rPr>
          <w:sz w:val="25"/>
          <w:szCs w:val="25"/>
        </w:rPr>
        <w:t xml:space="preserve"> лише формальних відомостей без належного обґрунтування, саморефлексії та фахового змісту </w:t>
      </w:r>
      <w:r w:rsidR="00F63BA2" w:rsidRPr="006D3B9D">
        <w:rPr>
          <w:sz w:val="25"/>
          <w:szCs w:val="25"/>
        </w:rPr>
        <w:t>можуть негативно впливати на оцінювання Комісією відповідного критерію.</w:t>
      </w:r>
    </w:p>
    <w:p w14:paraId="5B97A241" w14:textId="0260D4E2" w:rsidR="00F63BA2" w:rsidRPr="006D3B9D"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Як і в оцінюванні особистої компетенції, </w:t>
      </w:r>
      <w:r w:rsidR="00F63BA2" w:rsidRPr="006D3B9D">
        <w:rPr>
          <w:sz w:val="25"/>
          <w:szCs w:val="25"/>
        </w:rPr>
        <w:t>не менш важлива роль</w:t>
      </w:r>
      <w:r w:rsidRPr="006D3B9D">
        <w:rPr>
          <w:sz w:val="25"/>
          <w:szCs w:val="25"/>
        </w:rPr>
        <w:t xml:space="preserve"> </w:t>
      </w:r>
      <w:r w:rsidR="00F63BA2" w:rsidRPr="006D3B9D">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6D3B9D">
        <w:rPr>
          <w:sz w:val="25"/>
          <w:szCs w:val="25"/>
        </w:rPr>
        <w:t xml:space="preserve"> </w:t>
      </w:r>
      <w:r w:rsidR="00F63BA2" w:rsidRPr="006D3B9D">
        <w:rPr>
          <w:sz w:val="25"/>
          <w:szCs w:val="25"/>
        </w:rPr>
        <w:t>відкритого діалогу,</w:t>
      </w:r>
      <w:r w:rsidR="000B7721" w:rsidRPr="006D3B9D">
        <w:rPr>
          <w:sz w:val="25"/>
          <w:szCs w:val="25"/>
        </w:rPr>
        <w:t xml:space="preserve"> </w:t>
      </w:r>
      <w:r w:rsidR="00F63BA2" w:rsidRPr="006D3B9D">
        <w:rPr>
          <w:sz w:val="25"/>
          <w:szCs w:val="25"/>
        </w:rPr>
        <w:t>сприйняття критичних запитань без агресії чи захисних реакцій, готовність визнавати помилки, а також загальну</w:t>
      </w:r>
      <w:r w:rsidR="000B7721" w:rsidRPr="006D3B9D">
        <w:rPr>
          <w:sz w:val="25"/>
          <w:szCs w:val="25"/>
        </w:rPr>
        <w:t xml:space="preserve"> </w:t>
      </w:r>
      <w:r w:rsidR="00F63BA2" w:rsidRPr="006D3B9D">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6D3B9D"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D3B9D">
        <w:rPr>
          <w:sz w:val="25"/>
          <w:szCs w:val="25"/>
        </w:rPr>
        <w:t>логічно</w:t>
      </w:r>
      <w:proofErr w:type="spellEnd"/>
      <w:r w:rsidRPr="006D3B9D">
        <w:rPr>
          <w:sz w:val="25"/>
          <w:szCs w:val="25"/>
        </w:rPr>
        <w:t xml:space="preserve"> узгоджені відповіді </w:t>
      </w:r>
      <w:r w:rsidR="006F75EB" w:rsidRPr="006D3B9D">
        <w:rPr>
          <w:sz w:val="25"/>
          <w:szCs w:val="25"/>
        </w:rPr>
        <w:t xml:space="preserve">на запитання </w:t>
      </w:r>
      <w:r w:rsidRPr="006D3B9D">
        <w:rPr>
          <w:sz w:val="25"/>
          <w:szCs w:val="25"/>
        </w:rPr>
        <w:t xml:space="preserve">щодо відомостей, </w:t>
      </w:r>
      <w:r w:rsidR="006F75EB" w:rsidRPr="006D3B9D">
        <w:rPr>
          <w:sz w:val="25"/>
          <w:szCs w:val="25"/>
        </w:rPr>
        <w:t>наданих</w:t>
      </w:r>
      <w:r w:rsidRPr="006D3B9D">
        <w:rPr>
          <w:sz w:val="25"/>
          <w:szCs w:val="25"/>
        </w:rPr>
        <w:t xml:space="preserve"> на підтвердження відповідності цьому критерію. </w:t>
      </w:r>
      <w:r w:rsidR="006F75EB" w:rsidRPr="006D3B9D">
        <w:rPr>
          <w:sz w:val="25"/>
          <w:szCs w:val="25"/>
        </w:rPr>
        <w:t>Це</w:t>
      </w:r>
      <w:r w:rsidRPr="006D3B9D">
        <w:rPr>
          <w:sz w:val="25"/>
          <w:szCs w:val="25"/>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D3B9D">
        <w:rPr>
          <w:sz w:val="25"/>
          <w:szCs w:val="25"/>
        </w:rPr>
        <w:t xml:space="preserve"> </w:t>
      </w:r>
    </w:p>
    <w:p w14:paraId="35B30790" w14:textId="47FD74E4" w:rsidR="00F63BA2" w:rsidRPr="006D3B9D"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Саме </w:t>
      </w:r>
      <w:r w:rsidR="00E61797" w:rsidRPr="006D3B9D">
        <w:rPr>
          <w:sz w:val="25"/>
          <w:szCs w:val="25"/>
        </w:rPr>
        <w:t xml:space="preserve">під час </w:t>
      </w:r>
      <w:r w:rsidRPr="006D3B9D">
        <w:rPr>
          <w:sz w:val="25"/>
          <w:szCs w:val="25"/>
        </w:rPr>
        <w:t>співбесід</w:t>
      </w:r>
      <w:r w:rsidR="00E61797" w:rsidRPr="006D3B9D">
        <w:rPr>
          <w:sz w:val="25"/>
          <w:szCs w:val="25"/>
        </w:rPr>
        <w:t>и</w:t>
      </w:r>
      <w:r w:rsidRPr="006D3B9D">
        <w:rPr>
          <w:sz w:val="25"/>
          <w:szCs w:val="25"/>
        </w:rPr>
        <w:t xml:space="preserve"> формує</w:t>
      </w:r>
      <w:r w:rsidR="00E61797" w:rsidRPr="006D3B9D">
        <w:rPr>
          <w:sz w:val="25"/>
          <w:szCs w:val="25"/>
        </w:rPr>
        <w:t>ться</w:t>
      </w:r>
      <w:r w:rsidRPr="006D3B9D">
        <w:rPr>
          <w:sz w:val="25"/>
          <w:szCs w:val="25"/>
        </w:rPr>
        <w:t xml:space="preserve"> остаточн</w:t>
      </w:r>
      <w:r w:rsidR="00E61797" w:rsidRPr="006D3B9D">
        <w:rPr>
          <w:sz w:val="25"/>
          <w:szCs w:val="25"/>
        </w:rPr>
        <w:t>а</w:t>
      </w:r>
      <w:r w:rsidRPr="006D3B9D">
        <w:rPr>
          <w:sz w:val="25"/>
          <w:szCs w:val="25"/>
        </w:rPr>
        <w:t xml:space="preserve"> оцінк</w:t>
      </w:r>
      <w:r w:rsidR="00E61797" w:rsidRPr="006D3B9D">
        <w:rPr>
          <w:sz w:val="25"/>
          <w:szCs w:val="25"/>
        </w:rPr>
        <w:t>а</w:t>
      </w:r>
      <w:r w:rsidRPr="006D3B9D">
        <w:rPr>
          <w:sz w:val="25"/>
          <w:szCs w:val="25"/>
        </w:rPr>
        <w:t xml:space="preserve"> кандидата на посаду судді. У зв’язку із цим Комісія підкреслює, що оцінювання </w:t>
      </w:r>
      <w:r w:rsidR="0028470C" w:rsidRPr="006D3B9D">
        <w:rPr>
          <w:sz w:val="25"/>
          <w:szCs w:val="25"/>
        </w:rPr>
        <w:t>соціальної</w:t>
      </w:r>
      <w:r w:rsidRPr="006D3B9D">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F95306" w:rsidRPr="006D3B9D">
        <w:rPr>
          <w:sz w:val="25"/>
          <w:szCs w:val="25"/>
        </w:rPr>
        <w:t>в</w:t>
      </w:r>
      <w:r w:rsidRPr="006D3B9D">
        <w:rPr>
          <w:sz w:val="25"/>
          <w:szCs w:val="25"/>
        </w:rPr>
        <w:t xml:space="preserve"> сукупності.</w:t>
      </w:r>
    </w:p>
    <w:p w14:paraId="4A98FB51" w14:textId="5D17558D" w:rsidR="0017559B" w:rsidRPr="006D3B9D"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Комісія звертає увагу також на те, що відповіді на деякі запитання мали </w:t>
      </w:r>
      <w:r w:rsidR="00866EE7" w:rsidRPr="006D3B9D">
        <w:rPr>
          <w:sz w:val="25"/>
          <w:szCs w:val="25"/>
        </w:rPr>
        <w:t>переважно</w:t>
      </w:r>
      <w:r w:rsidRPr="006D3B9D">
        <w:rPr>
          <w:sz w:val="25"/>
          <w:szCs w:val="25"/>
        </w:rPr>
        <w:t xml:space="preserve"> загальний, описовий характер і не завжди демонстрували конкретні приклади відповідності показникам.</w:t>
      </w:r>
    </w:p>
    <w:p w14:paraId="4C4E3768" w14:textId="4D1D3791" w:rsidR="00D43B16" w:rsidRPr="006D3B9D" w:rsidRDefault="00F9530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w:t>
      </w:r>
      <w:r w:rsidR="00D43B16" w:rsidRPr="006D3B9D">
        <w:rPr>
          <w:sz w:val="25"/>
          <w:szCs w:val="25"/>
        </w:rPr>
        <w:t>ункт</w:t>
      </w:r>
      <w:r w:rsidRPr="006D3B9D">
        <w:rPr>
          <w:sz w:val="25"/>
          <w:szCs w:val="25"/>
        </w:rPr>
        <w:t>ом</w:t>
      </w:r>
      <w:r w:rsidR="00D43B16" w:rsidRPr="006D3B9D">
        <w:rPr>
          <w:sz w:val="25"/>
          <w:szCs w:val="25"/>
        </w:rPr>
        <w:t xml:space="preserve"> 5.7 Положення про кваліфікаційне оцінювання</w:t>
      </w:r>
      <w:r w:rsidRPr="006D3B9D">
        <w:rPr>
          <w:sz w:val="25"/>
          <w:szCs w:val="25"/>
        </w:rPr>
        <w:t xml:space="preserve"> передбачено, що</w:t>
      </w:r>
      <w:r w:rsidR="00D43B16" w:rsidRPr="006D3B9D">
        <w:rPr>
          <w:sz w:val="25"/>
          <w:szCs w:val="25"/>
        </w:rPr>
        <w:t xml:space="preserve">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00D43B16" w:rsidRPr="006D3B9D">
        <w:rPr>
          <w:sz w:val="25"/>
          <w:szCs w:val="25"/>
        </w:rPr>
        <w:t>бала</w:t>
      </w:r>
      <w:proofErr w:type="spellEnd"/>
      <w:r w:rsidR="00D43B16" w:rsidRPr="006D3B9D">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6D3B9D">
        <w:rPr>
          <w:sz w:val="25"/>
          <w:szCs w:val="25"/>
        </w:rPr>
        <w:t>бала</w:t>
      </w:r>
      <w:proofErr w:type="spellEnd"/>
      <w:r w:rsidR="00D43B16" w:rsidRPr="006D3B9D">
        <w:rPr>
          <w:sz w:val="25"/>
          <w:szCs w:val="25"/>
        </w:rPr>
        <w:t xml:space="preserve"> здійснюється на підставі оцінок всіх членів колегії.</w:t>
      </w:r>
    </w:p>
    <w:p w14:paraId="21CC0DCF" w14:textId="46E2DE0C" w:rsidR="003B68CC" w:rsidRPr="006D3B9D"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Надані кандидат</w:t>
      </w:r>
      <w:r w:rsidR="00A75423" w:rsidRPr="006D3B9D">
        <w:rPr>
          <w:sz w:val="25"/>
          <w:szCs w:val="25"/>
        </w:rPr>
        <w:t>ом</w:t>
      </w:r>
      <w:r w:rsidR="000C63C8" w:rsidRPr="006D3B9D">
        <w:rPr>
          <w:sz w:val="25"/>
          <w:szCs w:val="25"/>
        </w:rPr>
        <w:t xml:space="preserve"> </w:t>
      </w:r>
      <w:proofErr w:type="spellStart"/>
      <w:r w:rsidR="000D2430" w:rsidRPr="006D3B9D">
        <w:rPr>
          <w:sz w:val="25"/>
          <w:szCs w:val="25"/>
        </w:rPr>
        <w:t>Косогор</w:t>
      </w:r>
      <w:proofErr w:type="spellEnd"/>
      <w:r w:rsidR="000C63C8" w:rsidRPr="006D3B9D">
        <w:rPr>
          <w:sz w:val="25"/>
          <w:szCs w:val="25"/>
        </w:rPr>
        <w:t xml:space="preserve"> </w:t>
      </w:r>
      <w:r w:rsidR="000D2430" w:rsidRPr="006D3B9D">
        <w:rPr>
          <w:sz w:val="25"/>
          <w:szCs w:val="25"/>
        </w:rPr>
        <w:t>О</w:t>
      </w:r>
      <w:r w:rsidR="000C63C8" w:rsidRPr="006D3B9D">
        <w:rPr>
          <w:sz w:val="25"/>
          <w:szCs w:val="25"/>
        </w:rPr>
        <w:t>.</w:t>
      </w:r>
      <w:r w:rsidR="000D2430" w:rsidRPr="006D3B9D">
        <w:rPr>
          <w:sz w:val="25"/>
          <w:szCs w:val="25"/>
        </w:rPr>
        <w:t>М</w:t>
      </w:r>
      <w:r w:rsidR="000C63C8" w:rsidRPr="006D3B9D">
        <w:rPr>
          <w:sz w:val="25"/>
          <w:szCs w:val="25"/>
        </w:rPr>
        <w:t>.</w:t>
      </w:r>
      <w:r w:rsidRPr="006D3B9D">
        <w:rPr>
          <w:sz w:val="25"/>
          <w:szCs w:val="25"/>
        </w:rPr>
        <w:t xml:space="preserve"> документи, а також </w:t>
      </w:r>
      <w:r w:rsidR="00F95306" w:rsidRPr="006D3B9D">
        <w:rPr>
          <w:sz w:val="25"/>
          <w:szCs w:val="25"/>
        </w:rPr>
        <w:t>її</w:t>
      </w:r>
      <w:r w:rsidRPr="006D3B9D">
        <w:rPr>
          <w:sz w:val="25"/>
          <w:szCs w:val="25"/>
        </w:rPr>
        <w:t xml:space="preserve"> відповіді під час послідовного обговорення показників </w:t>
      </w:r>
      <w:r w:rsidR="0028470C" w:rsidRPr="006D3B9D">
        <w:rPr>
          <w:sz w:val="25"/>
          <w:szCs w:val="25"/>
        </w:rPr>
        <w:t>соціальної</w:t>
      </w:r>
      <w:r w:rsidRPr="006D3B9D">
        <w:rPr>
          <w:sz w:val="25"/>
          <w:szCs w:val="25"/>
        </w:rPr>
        <w:t xml:space="preserve"> компетентності </w:t>
      </w:r>
      <w:r w:rsidR="000C63C8" w:rsidRPr="006D3B9D">
        <w:rPr>
          <w:sz w:val="25"/>
          <w:szCs w:val="25"/>
        </w:rPr>
        <w:t>на</w:t>
      </w:r>
      <w:r w:rsidRPr="006D3B9D">
        <w:rPr>
          <w:sz w:val="25"/>
          <w:szCs w:val="25"/>
        </w:rPr>
        <w:t xml:space="preserve"> </w:t>
      </w:r>
      <w:r w:rsidR="0028470C" w:rsidRPr="006D3B9D">
        <w:rPr>
          <w:sz w:val="25"/>
          <w:szCs w:val="25"/>
        </w:rPr>
        <w:t>співбесід</w:t>
      </w:r>
      <w:r w:rsidR="000C63C8" w:rsidRPr="006D3B9D">
        <w:rPr>
          <w:sz w:val="25"/>
          <w:szCs w:val="25"/>
        </w:rPr>
        <w:t>і</w:t>
      </w:r>
      <w:r w:rsidRPr="006D3B9D">
        <w:rPr>
          <w:sz w:val="25"/>
          <w:szCs w:val="25"/>
        </w:rPr>
        <w:t xml:space="preserve"> індивідуально оцінен</w:t>
      </w:r>
      <w:r w:rsidR="00F95306" w:rsidRPr="006D3B9D">
        <w:rPr>
          <w:sz w:val="25"/>
          <w:szCs w:val="25"/>
        </w:rPr>
        <w:t>о</w:t>
      </w:r>
      <w:r w:rsidRPr="006D3B9D">
        <w:rPr>
          <w:sz w:val="25"/>
          <w:szCs w:val="25"/>
        </w:rPr>
        <w:t xml:space="preserve"> членами Комісії таким чином:</w:t>
      </w:r>
    </w:p>
    <w:tbl>
      <w:tblPr>
        <w:tblW w:w="5000" w:type="pct"/>
        <w:tblCellMar>
          <w:left w:w="0" w:type="dxa"/>
          <w:right w:w="0" w:type="dxa"/>
        </w:tblCellMar>
        <w:tblLook w:val="04A0" w:firstRow="1" w:lastRow="0" w:firstColumn="1" w:lastColumn="0" w:noHBand="0" w:noVBand="1"/>
      </w:tblPr>
      <w:tblGrid>
        <w:gridCol w:w="1741"/>
        <w:gridCol w:w="2413"/>
        <w:gridCol w:w="490"/>
        <w:gridCol w:w="491"/>
        <w:gridCol w:w="491"/>
        <w:gridCol w:w="1570"/>
        <w:gridCol w:w="2396"/>
      </w:tblGrid>
      <w:tr w:rsidR="005A7A59" w:rsidRPr="006D3B9D"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6D3B9D" w:rsidRDefault="005A7A59" w:rsidP="00A710EA">
            <w:pPr>
              <w:jc w:val="center"/>
              <w:rPr>
                <w:sz w:val="25"/>
                <w:szCs w:val="25"/>
              </w:rPr>
            </w:pPr>
            <w:r w:rsidRPr="006D3B9D">
              <w:rPr>
                <w:sz w:val="25"/>
                <w:szCs w:val="25"/>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6D3B9D" w:rsidRDefault="005A7A59" w:rsidP="00A710EA">
            <w:pPr>
              <w:jc w:val="center"/>
              <w:rPr>
                <w:sz w:val="25"/>
                <w:szCs w:val="25"/>
              </w:rPr>
            </w:pPr>
            <w:r w:rsidRPr="006D3B9D">
              <w:rPr>
                <w:sz w:val="25"/>
                <w:szCs w:val="25"/>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6D3B9D" w:rsidRDefault="005A7A59" w:rsidP="00A710EA">
            <w:pPr>
              <w:jc w:val="center"/>
              <w:rPr>
                <w:sz w:val="25"/>
                <w:szCs w:val="25"/>
              </w:rPr>
            </w:pPr>
            <w:r w:rsidRPr="006D3B9D">
              <w:rPr>
                <w:sz w:val="25"/>
                <w:szCs w:val="25"/>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63611DDD" w:rsidR="005A7A59" w:rsidRPr="006D3B9D" w:rsidRDefault="005A7A59" w:rsidP="00A710EA">
            <w:pPr>
              <w:jc w:val="center"/>
              <w:rPr>
                <w:sz w:val="25"/>
                <w:szCs w:val="25"/>
              </w:rPr>
            </w:pPr>
            <w:r w:rsidRPr="006D3B9D">
              <w:rPr>
                <w:sz w:val="25"/>
                <w:szCs w:val="25"/>
              </w:rPr>
              <w:t>Розрахований з</w:t>
            </w:r>
            <w:r w:rsidR="00F95306" w:rsidRPr="006D3B9D">
              <w:rPr>
                <w:sz w:val="25"/>
                <w:szCs w:val="25"/>
              </w:rPr>
              <w:t>гідно з</w:t>
            </w:r>
            <w:r w:rsidRPr="006D3B9D">
              <w:rPr>
                <w:sz w:val="25"/>
                <w:szCs w:val="25"/>
              </w:rPr>
              <w:t xml:space="preserve">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6D3B9D" w:rsidRDefault="005A7A59" w:rsidP="00A710EA">
            <w:pPr>
              <w:jc w:val="center"/>
              <w:rPr>
                <w:sz w:val="25"/>
                <w:szCs w:val="25"/>
              </w:rPr>
            </w:pPr>
            <w:r w:rsidRPr="006D3B9D">
              <w:rPr>
                <w:sz w:val="25"/>
                <w:szCs w:val="25"/>
              </w:rPr>
              <w:t>Бал за критерій</w:t>
            </w:r>
          </w:p>
        </w:tc>
      </w:tr>
      <w:tr w:rsidR="005A7A59" w:rsidRPr="006D3B9D" w14:paraId="5065EB5D" w14:textId="77777777" w:rsidTr="005A7A59">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6D3B9D" w:rsidRDefault="005A7A59" w:rsidP="003B68CC">
            <w:pPr>
              <w:rPr>
                <w:sz w:val="25"/>
                <w:szCs w:val="25"/>
              </w:rPr>
            </w:pPr>
            <w:r w:rsidRPr="006D3B9D">
              <w:rPr>
                <w:sz w:val="25"/>
                <w:szCs w:val="25"/>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6D3B9D" w:rsidRDefault="005A7A59" w:rsidP="003B68CC">
            <w:pPr>
              <w:jc w:val="center"/>
              <w:rPr>
                <w:sz w:val="25"/>
                <w:szCs w:val="25"/>
              </w:rPr>
            </w:pPr>
            <w:r w:rsidRPr="006D3B9D">
              <w:rPr>
                <w:sz w:val="25"/>
                <w:szCs w:val="25"/>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28ED14CE" w:rsidR="005A7A59" w:rsidRPr="006D3B9D" w:rsidRDefault="00160121" w:rsidP="003B68CC">
            <w:pPr>
              <w:jc w:val="center"/>
              <w:rPr>
                <w:sz w:val="25"/>
                <w:szCs w:val="25"/>
              </w:rPr>
            </w:pPr>
            <w:r w:rsidRPr="006D3B9D">
              <w:rPr>
                <w:sz w:val="25"/>
                <w:szCs w:val="25"/>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2A43F1D0" w:rsidR="005A7A59" w:rsidRPr="006D3B9D" w:rsidRDefault="00160121" w:rsidP="003B68CC">
            <w:pPr>
              <w:jc w:val="center"/>
              <w:rPr>
                <w:sz w:val="25"/>
                <w:szCs w:val="25"/>
              </w:rPr>
            </w:pPr>
            <w:r w:rsidRPr="006D3B9D">
              <w:rPr>
                <w:sz w:val="25"/>
                <w:szCs w:val="25"/>
              </w:rPr>
              <w:t>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BA07D46" w:rsidR="005A7A59" w:rsidRPr="006D3B9D" w:rsidRDefault="00160121" w:rsidP="003B68CC">
            <w:pPr>
              <w:jc w:val="center"/>
              <w:rPr>
                <w:sz w:val="25"/>
                <w:szCs w:val="25"/>
              </w:rPr>
            </w:pPr>
            <w:r w:rsidRPr="006D3B9D">
              <w:rPr>
                <w:sz w:val="25"/>
                <w:szCs w:val="25"/>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315B3751" w:rsidR="005A7A59" w:rsidRPr="006D3B9D" w:rsidRDefault="00160121" w:rsidP="003B68CC">
            <w:pPr>
              <w:jc w:val="center"/>
              <w:rPr>
                <w:sz w:val="25"/>
                <w:szCs w:val="25"/>
              </w:rPr>
            </w:pPr>
            <w:r w:rsidRPr="006D3B9D">
              <w:rPr>
                <w:sz w:val="25"/>
                <w:szCs w:val="25"/>
              </w:rPr>
              <w:t>9,00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4F357212" w14:textId="357D31D6" w:rsidR="005A7A59" w:rsidRPr="006D3B9D" w:rsidRDefault="00160121" w:rsidP="003B68CC">
            <w:pPr>
              <w:jc w:val="center"/>
              <w:rPr>
                <w:sz w:val="25"/>
                <w:szCs w:val="25"/>
              </w:rPr>
            </w:pPr>
            <w:r w:rsidRPr="006D3B9D">
              <w:rPr>
                <w:sz w:val="25"/>
                <w:szCs w:val="25"/>
              </w:rPr>
              <w:t>3</w:t>
            </w:r>
            <w:r w:rsidR="0025583D" w:rsidRPr="006D3B9D">
              <w:rPr>
                <w:sz w:val="25"/>
                <w:szCs w:val="25"/>
              </w:rPr>
              <w:t>8</w:t>
            </w:r>
          </w:p>
        </w:tc>
      </w:tr>
      <w:tr w:rsidR="005A7A59" w:rsidRPr="006D3B9D"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6D3B9D" w:rsidRDefault="005A7A59">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6D3B9D" w:rsidRDefault="005A7A59">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6D3B9D" w:rsidRDefault="005A7A59">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6D3B9D" w:rsidRDefault="005A7A59">
            <w:pPr>
              <w:rPr>
                <w:sz w:val="25"/>
                <w:szCs w:val="25"/>
              </w:rPr>
            </w:pPr>
          </w:p>
        </w:tc>
      </w:tr>
      <w:tr w:rsidR="005A7A59" w:rsidRPr="006D3B9D"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6D3B9D" w:rsidRDefault="005A7A59">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6D3B9D" w:rsidRDefault="005A7A59">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6D3B9D" w:rsidRDefault="005A7A59">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6D3B9D" w:rsidRDefault="005A7A59">
            <w:pPr>
              <w:rPr>
                <w:sz w:val="25"/>
                <w:szCs w:val="25"/>
              </w:rPr>
            </w:pPr>
          </w:p>
        </w:tc>
      </w:tr>
      <w:tr w:rsidR="005A7A59" w:rsidRPr="006D3B9D"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6D3B9D" w:rsidRDefault="005A7A59">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6D3B9D" w:rsidRDefault="005A7A59">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6D3B9D" w:rsidRDefault="005A7A59">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6D3B9D" w:rsidRDefault="005A7A59">
            <w:pPr>
              <w:rPr>
                <w:sz w:val="25"/>
                <w:szCs w:val="25"/>
              </w:rPr>
            </w:pPr>
          </w:p>
        </w:tc>
      </w:tr>
      <w:tr w:rsidR="005A7A59" w:rsidRPr="006D3B9D"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6D3B9D" w:rsidRDefault="005A7A59">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6D3B9D" w:rsidRDefault="005A7A59">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6D3B9D" w:rsidRDefault="005A7A59">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6D3B9D" w:rsidRDefault="005A7A59">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6D3B9D" w:rsidRDefault="005A7A59">
            <w:pPr>
              <w:rPr>
                <w:sz w:val="25"/>
                <w:szCs w:val="25"/>
              </w:rPr>
            </w:pPr>
          </w:p>
        </w:tc>
      </w:tr>
      <w:tr w:rsidR="005A7A59" w:rsidRPr="006D3B9D"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6D3B9D" w:rsidRDefault="005A7A59">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6D3B9D" w:rsidRDefault="005A7A59" w:rsidP="003B68CC">
            <w:pPr>
              <w:jc w:val="center"/>
              <w:rPr>
                <w:sz w:val="25"/>
                <w:szCs w:val="25"/>
              </w:rPr>
            </w:pPr>
            <w:r w:rsidRPr="006D3B9D">
              <w:rPr>
                <w:sz w:val="25"/>
                <w:szCs w:val="25"/>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26F2AF90" w:rsidR="005A7A59" w:rsidRPr="006D3B9D" w:rsidRDefault="00160121" w:rsidP="003B68CC">
            <w:pPr>
              <w:jc w:val="center"/>
              <w:rPr>
                <w:sz w:val="25"/>
                <w:szCs w:val="25"/>
              </w:rPr>
            </w:pPr>
            <w:r w:rsidRPr="006D3B9D">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BC38A95" w:rsidR="005A7A59" w:rsidRPr="006D3B9D" w:rsidRDefault="00980382" w:rsidP="003B68CC">
            <w:pPr>
              <w:jc w:val="center"/>
              <w:rPr>
                <w:sz w:val="25"/>
                <w:szCs w:val="25"/>
              </w:rPr>
            </w:pPr>
            <w:r w:rsidRPr="006D3B9D">
              <w:rPr>
                <w:sz w:val="25"/>
                <w:szCs w:val="25"/>
              </w:rPr>
              <w:t>9</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5F85366E" w:rsidR="005A7A59" w:rsidRPr="006D3B9D" w:rsidRDefault="00160121" w:rsidP="003B68CC">
            <w:pPr>
              <w:jc w:val="center"/>
              <w:rPr>
                <w:sz w:val="25"/>
                <w:szCs w:val="25"/>
              </w:rPr>
            </w:pPr>
            <w:r w:rsidRPr="006D3B9D">
              <w:rPr>
                <w:sz w:val="25"/>
                <w:szCs w:val="25"/>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2CBAD073" w:rsidR="005A7A59" w:rsidRPr="006D3B9D" w:rsidRDefault="00B923CC" w:rsidP="003B68CC">
            <w:pPr>
              <w:jc w:val="center"/>
              <w:rPr>
                <w:sz w:val="25"/>
                <w:szCs w:val="25"/>
              </w:rPr>
            </w:pPr>
            <w:r w:rsidRPr="006D3B9D">
              <w:rPr>
                <w:sz w:val="25"/>
                <w:szCs w:val="25"/>
              </w:rPr>
              <w:t>9</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6D3B9D" w:rsidRDefault="005A7A59">
            <w:pPr>
              <w:rPr>
                <w:sz w:val="25"/>
                <w:szCs w:val="25"/>
              </w:rPr>
            </w:pPr>
          </w:p>
        </w:tc>
      </w:tr>
      <w:tr w:rsidR="005A7A59" w:rsidRPr="006D3B9D"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6D3B9D" w:rsidRDefault="005A7A59">
            <w:pPr>
              <w:rPr>
                <w:sz w:val="25"/>
                <w:szCs w:val="25"/>
              </w:rPr>
            </w:pPr>
          </w:p>
        </w:tc>
      </w:tr>
      <w:tr w:rsidR="005A7A59" w:rsidRPr="006D3B9D"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6D3B9D" w:rsidRDefault="005A7A59">
            <w:pPr>
              <w:rPr>
                <w:sz w:val="25"/>
                <w:szCs w:val="25"/>
              </w:rPr>
            </w:pPr>
          </w:p>
        </w:tc>
      </w:tr>
      <w:tr w:rsidR="005A7A59" w:rsidRPr="006D3B9D"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6D3B9D" w:rsidRDefault="005A7A59">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6D3B9D" w:rsidRDefault="005A7A59" w:rsidP="003B68CC">
            <w:pPr>
              <w:jc w:val="center"/>
              <w:rPr>
                <w:sz w:val="25"/>
                <w:szCs w:val="25"/>
              </w:rPr>
            </w:pPr>
            <w:r w:rsidRPr="006D3B9D">
              <w:rPr>
                <w:sz w:val="25"/>
                <w:szCs w:val="25"/>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74E36EBE" w:rsidR="005A7A59" w:rsidRPr="006D3B9D" w:rsidRDefault="00160121" w:rsidP="003B68CC">
            <w:pPr>
              <w:jc w:val="center"/>
              <w:rPr>
                <w:sz w:val="25"/>
                <w:szCs w:val="25"/>
              </w:rPr>
            </w:pPr>
            <w:r w:rsidRPr="006D3B9D">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5E857C9D" w:rsidR="005A7A59" w:rsidRPr="006D3B9D" w:rsidRDefault="00160121" w:rsidP="003B68CC">
            <w:pPr>
              <w:jc w:val="center"/>
              <w:rPr>
                <w:sz w:val="25"/>
                <w:szCs w:val="25"/>
              </w:rPr>
            </w:pPr>
            <w:r w:rsidRPr="006D3B9D">
              <w:rPr>
                <w:sz w:val="25"/>
                <w:szCs w:val="25"/>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22292137" w:rsidR="005A7A59" w:rsidRPr="006D3B9D" w:rsidRDefault="00160121" w:rsidP="003B68CC">
            <w:pPr>
              <w:jc w:val="center"/>
              <w:rPr>
                <w:sz w:val="25"/>
                <w:szCs w:val="25"/>
              </w:rPr>
            </w:pPr>
            <w:r w:rsidRPr="006D3B9D">
              <w:rPr>
                <w:sz w:val="25"/>
                <w:szCs w:val="25"/>
              </w:rPr>
              <w:t>1</w:t>
            </w:r>
            <w:r w:rsidR="00B923CC" w:rsidRPr="006D3B9D">
              <w:rPr>
                <w:sz w:val="25"/>
                <w:szCs w:val="25"/>
              </w:rPr>
              <w:t>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1EECFFD5" w:rsidR="005A7A59" w:rsidRPr="006D3B9D" w:rsidRDefault="00160121" w:rsidP="003B68CC">
            <w:pPr>
              <w:jc w:val="center"/>
              <w:rPr>
                <w:sz w:val="25"/>
                <w:szCs w:val="25"/>
              </w:rPr>
            </w:pPr>
            <w:r w:rsidRPr="006D3B9D">
              <w:rPr>
                <w:sz w:val="25"/>
                <w:szCs w:val="25"/>
              </w:rPr>
              <w:t>10,</w:t>
            </w:r>
            <w:r w:rsidR="00B923CC" w:rsidRPr="006D3B9D">
              <w:rPr>
                <w:sz w:val="25"/>
                <w:szCs w:val="25"/>
              </w:rPr>
              <w:t>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6D3B9D" w:rsidRDefault="005A7A59">
            <w:pPr>
              <w:rPr>
                <w:sz w:val="25"/>
                <w:szCs w:val="25"/>
              </w:rPr>
            </w:pPr>
          </w:p>
        </w:tc>
      </w:tr>
      <w:tr w:rsidR="005A7A59" w:rsidRPr="006D3B9D"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6D3B9D" w:rsidRDefault="005A7A59">
            <w:pPr>
              <w:rPr>
                <w:sz w:val="25"/>
                <w:szCs w:val="25"/>
              </w:rPr>
            </w:pPr>
          </w:p>
        </w:tc>
      </w:tr>
      <w:tr w:rsidR="005A7A59" w:rsidRPr="006D3B9D"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6D3B9D" w:rsidRDefault="005A7A59">
            <w:pPr>
              <w:rPr>
                <w:sz w:val="25"/>
                <w:szCs w:val="25"/>
              </w:rPr>
            </w:pPr>
          </w:p>
        </w:tc>
      </w:tr>
      <w:tr w:rsidR="005A7A59" w:rsidRPr="006D3B9D"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6D3B9D" w:rsidRDefault="005A7A59">
            <w:pPr>
              <w:rPr>
                <w:sz w:val="25"/>
                <w:szCs w:val="25"/>
              </w:rPr>
            </w:pPr>
          </w:p>
        </w:tc>
      </w:tr>
      <w:tr w:rsidR="005A7A59" w:rsidRPr="006D3B9D"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6D3B9D" w:rsidRDefault="005A7A59">
            <w:pPr>
              <w:rPr>
                <w:sz w:val="25"/>
                <w:szCs w:val="25"/>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6D3B9D" w:rsidRDefault="005A7A59" w:rsidP="003B68CC">
            <w:pPr>
              <w:jc w:val="center"/>
              <w:rPr>
                <w:sz w:val="25"/>
                <w:szCs w:val="25"/>
              </w:rPr>
            </w:pPr>
            <w:r w:rsidRPr="006D3B9D">
              <w:rPr>
                <w:sz w:val="25"/>
                <w:szCs w:val="25"/>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0CF4219F" w:rsidR="005A7A59" w:rsidRPr="006D3B9D" w:rsidRDefault="00B923CC" w:rsidP="003B68CC">
            <w:pPr>
              <w:jc w:val="center"/>
              <w:rPr>
                <w:sz w:val="25"/>
                <w:szCs w:val="25"/>
              </w:rPr>
            </w:pPr>
            <w:r w:rsidRPr="006D3B9D">
              <w:rPr>
                <w:sz w:val="25"/>
                <w:szCs w:val="25"/>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7E22E89F" w:rsidR="005A7A59" w:rsidRPr="006D3B9D" w:rsidRDefault="00B923CC" w:rsidP="003B68CC">
            <w:pPr>
              <w:jc w:val="center"/>
              <w:rPr>
                <w:sz w:val="25"/>
                <w:szCs w:val="25"/>
              </w:rPr>
            </w:pPr>
            <w:r w:rsidRPr="006D3B9D">
              <w:rPr>
                <w:sz w:val="25"/>
                <w:szCs w:val="25"/>
              </w:rPr>
              <w:t>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1542E1EE" w:rsidR="005A7A59" w:rsidRPr="006D3B9D" w:rsidRDefault="00B923CC" w:rsidP="003B68CC">
            <w:pPr>
              <w:jc w:val="center"/>
              <w:rPr>
                <w:sz w:val="25"/>
                <w:szCs w:val="25"/>
              </w:rPr>
            </w:pPr>
            <w:r w:rsidRPr="006D3B9D">
              <w:rPr>
                <w:sz w:val="25"/>
                <w:szCs w:val="25"/>
              </w:rPr>
              <w:t>9</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04EEAEDD" w:rsidR="005A7A59" w:rsidRPr="006D3B9D" w:rsidRDefault="00160121" w:rsidP="003B68CC">
            <w:pPr>
              <w:jc w:val="center"/>
              <w:rPr>
                <w:sz w:val="25"/>
                <w:szCs w:val="25"/>
              </w:rPr>
            </w:pPr>
            <w:r w:rsidRPr="006D3B9D">
              <w:rPr>
                <w:sz w:val="25"/>
                <w:szCs w:val="25"/>
              </w:rPr>
              <w:t>9,</w:t>
            </w:r>
            <w:r w:rsidR="00B923CC" w:rsidRPr="006D3B9D">
              <w:rPr>
                <w:sz w:val="25"/>
                <w:szCs w:val="25"/>
              </w:rPr>
              <w:t>33</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6D3B9D" w:rsidRDefault="005A7A59">
            <w:pPr>
              <w:rPr>
                <w:sz w:val="25"/>
                <w:szCs w:val="25"/>
              </w:rPr>
            </w:pPr>
          </w:p>
        </w:tc>
      </w:tr>
      <w:tr w:rsidR="005A7A59" w:rsidRPr="006D3B9D" w14:paraId="10E3D291" w14:textId="77777777" w:rsidTr="005A7A59">
        <w:trPr>
          <w:trHeight w:val="287"/>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6D3B9D" w:rsidRDefault="005A7A59">
            <w:pPr>
              <w:rPr>
                <w:sz w:val="25"/>
                <w:szCs w:val="25"/>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6D3B9D" w:rsidRDefault="005A7A59">
            <w:pPr>
              <w:rPr>
                <w:sz w:val="25"/>
                <w:szCs w:val="25"/>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6D3B9D" w:rsidRDefault="005A7A59">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6D3B9D" w:rsidRDefault="005A7A59">
            <w:pPr>
              <w:rPr>
                <w:sz w:val="25"/>
                <w:szCs w:val="25"/>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6D3B9D" w:rsidRDefault="005A7A59">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6D3B9D" w:rsidRDefault="005A7A59">
            <w:pPr>
              <w:rPr>
                <w:sz w:val="25"/>
                <w:szCs w:val="25"/>
              </w:rPr>
            </w:pPr>
          </w:p>
        </w:tc>
      </w:tr>
    </w:tbl>
    <w:p w14:paraId="59F10277" w14:textId="77777777" w:rsidR="003B68CC" w:rsidRPr="006D3B9D" w:rsidRDefault="003B68CC" w:rsidP="003B68CC">
      <w:pPr>
        <w:jc w:val="both"/>
        <w:rPr>
          <w:sz w:val="25"/>
          <w:szCs w:val="25"/>
        </w:rPr>
      </w:pPr>
    </w:p>
    <w:p w14:paraId="3965B124" w14:textId="401AC90F" w:rsidR="00A710EA" w:rsidRPr="006D3B9D"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Отже, надана інформаці</w:t>
      </w:r>
      <w:r w:rsidR="000C63C8" w:rsidRPr="006D3B9D">
        <w:rPr>
          <w:sz w:val="25"/>
          <w:szCs w:val="25"/>
        </w:rPr>
        <w:t>я</w:t>
      </w:r>
      <w:r w:rsidRPr="006D3B9D">
        <w:rPr>
          <w:sz w:val="25"/>
          <w:szCs w:val="25"/>
        </w:rPr>
        <w:t xml:space="preserve"> та участь у співбесіді продемонструва</w:t>
      </w:r>
      <w:r w:rsidR="000C63C8" w:rsidRPr="006D3B9D">
        <w:rPr>
          <w:sz w:val="25"/>
          <w:szCs w:val="25"/>
        </w:rPr>
        <w:t>л</w:t>
      </w:r>
      <w:r w:rsidRPr="006D3B9D">
        <w:rPr>
          <w:sz w:val="25"/>
          <w:szCs w:val="25"/>
        </w:rPr>
        <w:t>и належний рівень соціальної компетентності.</w:t>
      </w:r>
    </w:p>
    <w:p w14:paraId="0D4981A8" w14:textId="562331DB" w:rsidR="00A710EA" w:rsidRPr="006D3B9D"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w:t>
      </w:r>
      <w:r w:rsidR="00A710EA" w:rsidRPr="006D3B9D">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D43B16" w:rsidRPr="006D3B9D">
        <w:rPr>
          <w:sz w:val="25"/>
          <w:szCs w:val="25"/>
        </w:rPr>
        <w:t>Колегії</w:t>
      </w:r>
      <w:r w:rsidR="00A710EA" w:rsidRPr="006D3B9D">
        <w:rPr>
          <w:sz w:val="25"/>
          <w:szCs w:val="25"/>
        </w:rPr>
        <w:t xml:space="preserve"> за відповідними показниками сумарний бал, отриманий за цим критерієм</w:t>
      </w:r>
      <w:r w:rsidRPr="006D3B9D">
        <w:rPr>
          <w:sz w:val="25"/>
          <w:szCs w:val="25"/>
        </w:rPr>
        <w:t>,</w:t>
      </w:r>
      <w:r w:rsidR="00A710EA" w:rsidRPr="006D3B9D">
        <w:rPr>
          <w:sz w:val="25"/>
          <w:szCs w:val="25"/>
        </w:rPr>
        <w:t xml:space="preserve"> становить </w:t>
      </w:r>
      <w:r w:rsidR="00160121" w:rsidRPr="006D3B9D">
        <w:rPr>
          <w:sz w:val="25"/>
          <w:szCs w:val="25"/>
        </w:rPr>
        <w:t>3</w:t>
      </w:r>
      <w:r w:rsidR="0025583D" w:rsidRPr="006D3B9D">
        <w:rPr>
          <w:sz w:val="25"/>
          <w:szCs w:val="25"/>
        </w:rPr>
        <w:t>8</w:t>
      </w:r>
      <w:r w:rsidR="00CD61C7" w:rsidRPr="006D3B9D">
        <w:rPr>
          <w:sz w:val="25"/>
          <w:szCs w:val="25"/>
        </w:rPr>
        <w:t> </w:t>
      </w:r>
      <w:proofErr w:type="spellStart"/>
      <w:r w:rsidR="00A710EA" w:rsidRPr="006D3B9D">
        <w:rPr>
          <w:sz w:val="25"/>
          <w:szCs w:val="25"/>
        </w:rPr>
        <w:t>бала</w:t>
      </w:r>
      <w:proofErr w:type="spellEnd"/>
      <w:r w:rsidR="00A710EA" w:rsidRPr="006D3B9D">
        <w:rPr>
          <w:sz w:val="25"/>
          <w:szCs w:val="25"/>
        </w:rPr>
        <w:t xml:space="preserve"> із 50</w:t>
      </w:r>
      <w:r w:rsidR="00F95306" w:rsidRPr="006D3B9D">
        <w:rPr>
          <w:sz w:val="25"/>
          <w:szCs w:val="25"/>
        </w:rPr>
        <w:t> </w:t>
      </w:r>
      <w:r w:rsidR="00A710EA" w:rsidRPr="006D3B9D">
        <w:rPr>
          <w:sz w:val="25"/>
          <w:szCs w:val="25"/>
        </w:rPr>
        <w:t xml:space="preserve">можливих, що </w:t>
      </w:r>
      <w:r w:rsidR="00E402AA" w:rsidRPr="006D3B9D">
        <w:rPr>
          <w:sz w:val="25"/>
          <w:szCs w:val="25"/>
        </w:rPr>
        <w:t>становить</w:t>
      </w:r>
      <w:r w:rsidR="00A710EA" w:rsidRPr="006D3B9D">
        <w:rPr>
          <w:sz w:val="25"/>
          <w:szCs w:val="25"/>
        </w:rPr>
        <w:t xml:space="preserve"> </w:t>
      </w:r>
      <w:r w:rsidR="004A0BDC" w:rsidRPr="006D3B9D">
        <w:rPr>
          <w:sz w:val="25"/>
          <w:szCs w:val="25"/>
        </w:rPr>
        <w:t xml:space="preserve">більше </w:t>
      </w:r>
      <w:r w:rsidR="00A710EA" w:rsidRPr="006D3B9D">
        <w:rPr>
          <w:sz w:val="25"/>
          <w:szCs w:val="25"/>
        </w:rPr>
        <w:t xml:space="preserve">75% (37,5 </w:t>
      </w:r>
      <w:proofErr w:type="spellStart"/>
      <w:r w:rsidR="00A710EA" w:rsidRPr="006D3B9D">
        <w:rPr>
          <w:sz w:val="25"/>
          <w:szCs w:val="25"/>
        </w:rPr>
        <w:t>бала</w:t>
      </w:r>
      <w:proofErr w:type="spellEnd"/>
      <w:r w:rsidR="00A710EA" w:rsidRPr="006D3B9D">
        <w:rPr>
          <w:sz w:val="25"/>
          <w:szCs w:val="25"/>
        </w:rPr>
        <w:t xml:space="preserve">), тому Комісія виснує, що кандидат відповідає критерію </w:t>
      </w:r>
      <w:r w:rsidRPr="006D3B9D">
        <w:rPr>
          <w:sz w:val="25"/>
          <w:szCs w:val="25"/>
        </w:rPr>
        <w:t>соціальної</w:t>
      </w:r>
      <w:r w:rsidR="00A710EA" w:rsidRPr="006D3B9D">
        <w:rPr>
          <w:sz w:val="25"/>
          <w:szCs w:val="25"/>
        </w:rPr>
        <w:t xml:space="preserve"> компетентності. </w:t>
      </w:r>
    </w:p>
    <w:p w14:paraId="6D27F030" w14:textId="2902835F" w:rsidR="00A710EA" w:rsidRPr="006D3B9D" w:rsidRDefault="00A710EA" w:rsidP="007E0F0D">
      <w:pPr>
        <w:jc w:val="both"/>
        <w:rPr>
          <w:b/>
          <w:sz w:val="25"/>
          <w:szCs w:val="25"/>
        </w:rPr>
      </w:pPr>
      <w:r w:rsidRPr="006D3B9D">
        <w:rPr>
          <w:b/>
          <w:sz w:val="25"/>
          <w:szCs w:val="25"/>
        </w:rPr>
        <w:lastRenderedPageBreak/>
        <w:t>V-</w:t>
      </w:r>
      <w:r w:rsidR="009C7D49" w:rsidRPr="006D3B9D">
        <w:rPr>
          <w:b/>
          <w:sz w:val="25"/>
          <w:szCs w:val="25"/>
        </w:rPr>
        <w:t>ІV</w:t>
      </w:r>
      <w:r w:rsidRPr="006D3B9D">
        <w:rPr>
          <w:b/>
          <w:sz w:val="25"/>
          <w:szCs w:val="25"/>
        </w:rPr>
        <w:t xml:space="preserve">. </w:t>
      </w:r>
      <w:r w:rsidR="00AF4DE6" w:rsidRPr="006D3B9D">
        <w:rPr>
          <w:b/>
          <w:sz w:val="25"/>
          <w:szCs w:val="25"/>
        </w:rPr>
        <w:t>Загальні принципи</w:t>
      </w:r>
      <w:r w:rsidR="002C065D" w:rsidRPr="006D3B9D">
        <w:rPr>
          <w:b/>
          <w:sz w:val="25"/>
          <w:szCs w:val="25"/>
        </w:rPr>
        <w:t>,</w:t>
      </w:r>
      <w:r w:rsidR="00AF4DE6" w:rsidRPr="006D3B9D">
        <w:rPr>
          <w:b/>
          <w:sz w:val="25"/>
          <w:szCs w:val="25"/>
        </w:rPr>
        <w:t xml:space="preserve"> застосов</w:t>
      </w:r>
      <w:r w:rsidR="00E61797" w:rsidRPr="006D3B9D">
        <w:rPr>
          <w:b/>
          <w:sz w:val="25"/>
          <w:szCs w:val="25"/>
        </w:rPr>
        <w:t>а</w:t>
      </w:r>
      <w:r w:rsidR="00AF4DE6" w:rsidRPr="006D3B9D">
        <w:rPr>
          <w:b/>
          <w:sz w:val="25"/>
          <w:szCs w:val="25"/>
        </w:rPr>
        <w:t xml:space="preserve">ні Комісією при </w:t>
      </w:r>
      <w:r w:rsidR="00F6026E" w:rsidRPr="006D3B9D">
        <w:rPr>
          <w:b/>
          <w:sz w:val="25"/>
          <w:szCs w:val="25"/>
        </w:rPr>
        <w:t>в</w:t>
      </w:r>
      <w:r w:rsidRPr="006D3B9D">
        <w:rPr>
          <w:b/>
          <w:sz w:val="25"/>
          <w:szCs w:val="25"/>
        </w:rPr>
        <w:t>становленн</w:t>
      </w:r>
      <w:r w:rsidR="002C065D" w:rsidRPr="006D3B9D">
        <w:rPr>
          <w:b/>
          <w:sz w:val="25"/>
          <w:szCs w:val="25"/>
        </w:rPr>
        <w:t>і</w:t>
      </w:r>
      <w:r w:rsidRPr="006D3B9D">
        <w:rPr>
          <w:b/>
          <w:sz w:val="25"/>
          <w:szCs w:val="25"/>
        </w:rPr>
        <w:t xml:space="preserve"> відповідності кандидата критері</w:t>
      </w:r>
      <w:r w:rsidR="00F95306" w:rsidRPr="006D3B9D">
        <w:rPr>
          <w:b/>
          <w:sz w:val="25"/>
          <w:szCs w:val="25"/>
        </w:rPr>
        <w:t>ям</w:t>
      </w:r>
      <w:r w:rsidRPr="006D3B9D">
        <w:rPr>
          <w:b/>
          <w:sz w:val="25"/>
          <w:szCs w:val="25"/>
        </w:rPr>
        <w:t xml:space="preserve"> професійної етики та доброчесності.</w:t>
      </w:r>
    </w:p>
    <w:p w14:paraId="6882634A" w14:textId="77777777" w:rsidR="00A710EA" w:rsidRPr="006D3B9D" w:rsidRDefault="00A710EA" w:rsidP="00A710EA">
      <w:pPr>
        <w:jc w:val="both"/>
        <w:rPr>
          <w:sz w:val="25"/>
          <w:szCs w:val="25"/>
        </w:rPr>
      </w:pPr>
    </w:p>
    <w:p w14:paraId="1DFC58FF" w14:textId="7D03800D" w:rsidR="00F61C99" w:rsidRPr="006D3B9D"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Насамперед</w:t>
      </w:r>
      <w:r w:rsidR="00F61C99" w:rsidRPr="006D3B9D">
        <w:rPr>
          <w:sz w:val="25"/>
          <w:szCs w:val="25"/>
        </w:rPr>
        <w:t xml:space="preserve"> Комісія відзначає, що </w:t>
      </w:r>
      <w:r w:rsidR="00AF4DE6" w:rsidRPr="006D3B9D">
        <w:rPr>
          <w:sz w:val="25"/>
          <w:szCs w:val="25"/>
        </w:rPr>
        <w:t>д</w:t>
      </w:r>
      <w:r w:rsidR="00F61C99" w:rsidRPr="006D3B9D">
        <w:rPr>
          <w:sz w:val="25"/>
          <w:szCs w:val="25"/>
        </w:rPr>
        <w:t>оброчесність та професійна етика</w:t>
      </w:r>
      <w:r w:rsidRPr="006D3B9D">
        <w:rPr>
          <w:sz w:val="25"/>
          <w:szCs w:val="25"/>
        </w:rPr>
        <w:t xml:space="preserve"> ‒ </w:t>
      </w:r>
      <w:r w:rsidR="00F61C99" w:rsidRPr="006D3B9D">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6D3B9D">
        <w:rPr>
          <w:sz w:val="25"/>
          <w:szCs w:val="25"/>
        </w:rPr>
        <w:t>ей комплекс</w:t>
      </w:r>
      <w:r w:rsidR="00F61C99" w:rsidRPr="006D3B9D">
        <w:rPr>
          <w:sz w:val="25"/>
          <w:szCs w:val="25"/>
        </w:rPr>
        <w:t xml:space="preserve"> також включа</w:t>
      </w:r>
      <w:r w:rsidR="00112EB6" w:rsidRPr="006D3B9D">
        <w:rPr>
          <w:sz w:val="25"/>
          <w:szCs w:val="25"/>
        </w:rPr>
        <w:t>є</w:t>
      </w:r>
      <w:r w:rsidR="00F61C99" w:rsidRPr="006D3B9D">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64BC9404" w:rsidR="00F61C99" w:rsidRPr="006D3B9D"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Таким чином,</w:t>
      </w:r>
      <w:r w:rsidR="007E0F0D" w:rsidRPr="006D3B9D">
        <w:rPr>
          <w:sz w:val="25"/>
          <w:szCs w:val="25"/>
        </w:rPr>
        <w:t xml:space="preserve"> на переконання Комісії,</w:t>
      </w:r>
      <w:r w:rsidRPr="006D3B9D">
        <w:rPr>
          <w:sz w:val="25"/>
          <w:szCs w:val="25"/>
        </w:rPr>
        <w:t xml:space="preserve"> доброчесність і професійна етика є фундаментальним</w:t>
      </w:r>
      <w:r w:rsidR="00F95306" w:rsidRPr="006D3B9D">
        <w:rPr>
          <w:sz w:val="25"/>
          <w:szCs w:val="25"/>
        </w:rPr>
        <w:t>и</w:t>
      </w:r>
      <w:r w:rsidRPr="006D3B9D">
        <w:rPr>
          <w:sz w:val="25"/>
          <w:szCs w:val="25"/>
        </w:rPr>
        <w:t xml:space="preserve"> критері</w:t>
      </w:r>
      <w:r w:rsidR="00F95306" w:rsidRPr="006D3B9D">
        <w:rPr>
          <w:sz w:val="25"/>
          <w:szCs w:val="25"/>
        </w:rPr>
        <w:t>ями</w:t>
      </w:r>
      <w:r w:rsidRPr="006D3B9D">
        <w:rPr>
          <w:sz w:val="25"/>
          <w:szCs w:val="25"/>
        </w:rPr>
        <w:t xml:space="preserve">, </w:t>
      </w:r>
      <w:r w:rsidR="00AF4DE6" w:rsidRPr="006D3B9D">
        <w:rPr>
          <w:sz w:val="25"/>
          <w:szCs w:val="25"/>
        </w:rPr>
        <w:t>як</w:t>
      </w:r>
      <w:r w:rsidR="00F95306" w:rsidRPr="006D3B9D">
        <w:rPr>
          <w:sz w:val="25"/>
          <w:szCs w:val="25"/>
        </w:rPr>
        <w:t>і</w:t>
      </w:r>
      <w:r w:rsidRPr="006D3B9D">
        <w:rPr>
          <w:sz w:val="25"/>
          <w:szCs w:val="25"/>
        </w:rPr>
        <w:t xml:space="preserve"> забезпечу</w:t>
      </w:r>
      <w:r w:rsidR="00F95306" w:rsidRPr="006D3B9D">
        <w:rPr>
          <w:sz w:val="25"/>
          <w:szCs w:val="25"/>
        </w:rPr>
        <w:t>ють</w:t>
      </w:r>
      <w:r w:rsidRPr="006D3B9D">
        <w:rPr>
          <w:sz w:val="25"/>
          <w:szCs w:val="25"/>
        </w:rPr>
        <w:t xml:space="preserve"> суспільну довіру до судової влади та гарантують дотримання принципів верховенства права.</w:t>
      </w:r>
    </w:p>
    <w:p w14:paraId="58E01BC5" w14:textId="5B79E96B" w:rsidR="007E0F0D" w:rsidRPr="006D3B9D"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Функціонування судової влади, до складу суддівського корпусу якої вход</w:t>
      </w:r>
      <w:r w:rsidR="00561C38" w:rsidRPr="006D3B9D">
        <w:rPr>
          <w:sz w:val="25"/>
          <w:szCs w:val="25"/>
        </w:rPr>
        <w:t>итимуть</w:t>
      </w:r>
      <w:r w:rsidRPr="006D3B9D">
        <w:rPr>
          <w:sz w:val="25"/>
          <w:szCs w:val="25"/>
        </w:rPr>
        <w:t xml:space="preserve"> судді, які не відповідають критері</w:t>
      </w:r>
      <w:r w:rsidR="00F95306" w:rsidRPr="006D3B9D">
        <w:rPr>
          <w:sz w:val="25"/>
          <w:szCs w:val="25"/>
        </w:rPr>
        <w:t>ям</w:t>
      </w:r>
      <w:r w:rsidRPr="006D3B9D">
        <w:rPr>
          <w:sz w:val="25"/>
          <w:szCs w:val="25"/>
        </w:rPr>
        <w:t xml:space="preserve"> доброчесності</w:t>
      </w:r>
      <w:r w:rsidR="00AF4DE6" w:rsidRPr="006D3B9D">
        <w:rPr>
          <w:sz w:val="25"/>
          <w:szCs w:val="25"/>
        </w:rPr>
        <w:t xml:space="preserve"> та професійної етики</w:t>
      </w:r>
      <w:r w:rsidRPr="006D3B9D">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336F5E01" w:rsidR="00F61C99" w:rsidRPr="006D3B9D"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Х</w:t>
      </w:r>
      <w:r w:rsidR="007E0F0D" w:rsidRPr="006D3B9D">
        <w:rPr>
          <w:sz w:val="25"/>
          <w:szCs w:val="25"/>
        </w:rPr>
        <w:t>оч</w:t>
      </w:r>
      <w:r w:rsidRPr="006D3B9D">
        <w:rPr>
          <w:sz w:val="25"/>
          <w:szCs w:val="25"/>
        </w:rPr>
        <w:t>а</w:t>
      </w:r>
      <w:r w:rsidR="007E0F0D" w:rsidRPr="006D3B9D">
        <w:rPr>
          <w:sz w:val="25"/>
          <w:szCs w:val="25"/>
        </w:rPr>
        <w:t xml:space="preserve"> Комісія виходить із того, що </w:t>
      </w:r>
      <w:r w:rsidR="00561C38" w:rsidRPr="006D3B9D">
        <w:rPr>
          <w:sz w:val="25"/>
          <w:szCs w:val="25"/>
        </w:rPr>
        <w:t>кандидат на посаду судді</w:t>
      </w:r>
      <w:r w:rsidR="007E0F0D" w:rsidRPr="006D3B9D">
        <w:rPr>
          <w:sz w:val="25"/>
          <w:szCs w:val="25"/>
        </w:rPr>
        <w:t xml:space="preserve"> відповідає критері</w:t>
      </w:r>
      <w:r w:rsidR="00F95306" w:rsidRPr="006D3B9D">
        <w:rPr>
          <w:sz w:val="25"/>
          <w:szCs w:val="25"/>
        </w:rPr>
        <w:t>ям</w:t>
      </w:r>
      <w:r w:rsidR="007E0F0D" w:rsidRPr="006D3B9D">
        <w:rPr>
          <w:sz w:val="25"/>
          <w:szCs w:val="25"/>
        </w:rPr>
        <w:t xml:space="preserve"> доброчесності</w:t>
      </w:r>
      <w:r w:rsidR="00AF4DE6" w:rsidRPr="006D3B9D">
        <w:rPr>
          <w:sz w:val="25"/>
          <w:szCs w:val="25"/>
        </w:rPr>
        <w:t xml:space="preserve"> та професійної етики</w:t>
      </w:r>
      <w:r w:rsidR="007E0F0D" w:rsidRPr="006D3B9D">
        <w:rPr>
          <w:sz w:val="25"/>
          <w:szCs w:val="25"/>
        </w:rPr>
        <w:t>, однак</w:t>
      </w:r>
      <w:r w:rsidR="00561C38" w:rsidRPr="006D3B9D">
        <w:rPr>
          <w:sz w:val="25"/>
          <w:szCs w:val="25"/>
        </w:rPr>
        <w:t xml:space="preserve"> </w:t>
      </w:r>
      <w:r w:rsidR="00AF4DE6" w:rsidRPr="006D3B9D">
        <w:rPr>
          <w:sz w:val="25"/>
          <w:szCs w:val="25"/>
        </w:rPr>
        <w:t xml:space="preserve">така </w:t>
      </w:r>
      <w:r w:rsidR="00561C38" w:rsidRPr="006D3B9D">
        <w:rPr>
          <w:sz w:val="25"/>
          <w:szCs w:val="25"/>
        </w:rPr>
        <w:t xml:space="preserve">презумпція є спростовною, а </w:t>
      </w:r>
      <w:r w:rsidR="007E0F0D" w:rsidRPr="006D3B9D">
        <w:rPr>
          <w:sz w:val="25"/>
          <w:szCs w:val="25"/>
        </w:rPr>
        <w:t>рівень відповідності</w:t>
      </w:r>
      <w:r w:rsidR="00561C38" w:rsidRPr="006D3B9D">
        <w:rPr>
          <w:sz w:val="25"/>
          <w:szCs w:val="25"/>
        </w:rPr>
        <w:t xml:space="preserve"> критері</w:t>
      </w:r>
      <w:r w:rsidR="00F95306" w:rsidRPr="006D3B9D">
        <w:rPr>
          <w:sz w:val="25"/>
          <w:szCs w:val="25"/>
        </w:rPr>
        <w:t>ям</w:t>
      </w:r>
      <w:r w:rsidR="00561C38" w:rsidRPr="006D3B9D">
        <w:rPr>
          <w:sz w:val="25"/>
          <w:szCs w:val="25"/>
        </w:rPr>
        <w:t xml:space="preserve"> </w:t>
      </w:r>
      <w:r w:rsidR="00AF4DE6" w:rsidRPr="006D3B9D">
        <w:rPr>
          <w:sz w:val="25"/>
          <w:szCs w:val="25"/>
        </w:rPr>
        <w:t>доброчесності та професійної етики</w:t>
      </w:r>
      <w:r w:rsidR="00561C38" w:rsidRPr="006D3B9D">
        <w:rPr>
          <w:sz w:val="25"/>
          <w:szCs w:val="25"/>
        </w:rPr>
        <w:t xml:space="preserve"> підлягає </w:t>
      </w:r>
      <w:r w:rsidR="007E0F0D" w:rsidRPr="006D3B9D">
        <w:rPr>
          <w:sz w:val="25"/>
          <w:szCs w:val="25"/>
        </w:rPr>
        <w:t xml:space="preserve"> з’ясуванню у процесі кваліфікаційного оцінювання.</w:t>
      </w:r>
    </w:p>
    <w:p w14:paraId="006A3FD0" w14:textId="245F13C8" w:rsidR="00DD7DD7" w:rsidRPr="006D3B9D"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w:t>
      </w:r>
      <w:r w:rsidR="00DD7DD7" w:rsidRPr="006D3B9D">
        <w:rPr>
          <w:sz w:val="25"/>
          <w:szCs w:val="25"/>
        </w:rPr>
        <w:t>ідповідність кандидата на посаду судді критері</w:t>
      </w:r>
      <w:r w:rsidR="00F95306" w:rsidRPr="006D3B9D">
        <w:rPr>
          <w:sz w:val="25"/>
          <w:szCs w:val="25"/>
        </w:rPr>
        <w:t>ям</w:t>
      </w:r>
      <w:r w:rsidR="00DD7DD7" w:rsidRPr="006D3B9D">
        <w:rPr>
          <w:sz w:val="25"/>
          <w:szCs w:val="25"/>
        </w:rPr>
        <w:t xml:space="preserve"> доброчесності та професійної етики встановлюється за такими показниками:</w:t>
      </w:r>
    </w:p>
    <w:p w14:paraId="071ECC3B" w14:textId="594C9597"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Незалежність.</w:t>
      </w:r>
    </w:p>
    <w:p w14:paraId="438DB9B8" w14:textId="6A13AA61"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Чесність.</w:t>
      </w:r>
    </w:p>
    <w:p w14:paraId="2F1A955C" w14:textId="0F7C33FE"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Неупередженість.</w:t>
      </w:r>
    </w:p>
    <w:p w14:paraId="29E0AD8F" w14:textId="2AE34834"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Сумлінність.</w:t>
      </w:r>
    </w:p>
    <w:p w14:paraId="2B6F1733" w14:textId="6C55BDD1"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Непідкупність.</w:t>
      </w:r>
    </w:p>
    <w:p w14:paraId="5FD9C79B" w14:textId="305FED58"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Дотримання етичних норм і бездоганна поведінка у професійній діяльності та особистому житті.</w:t>
      </w:r>
    </w:p>
    <w:p w14:paraId="40CB7B79" w14:textId="6F418621" w:rsidR="00DD7DD7" w:rsidRPr="006D3B9D"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6D3B9D">
        <w:rPr>
          <w:sz w:val="25"/>
          <w:szCs w:val="25"/>
        </w:rPr>
        <w:t xml:space="preserve">Законність джерел походження майна, відповідність рівня життя судді (кандидата на посаду судді) або членів його </w:t>
      </w:r>
      <w:r w:rsidR="00F95306" w:rsidRPr="006D3B9D">
        <w:rPr>
          <w:sz w:val="25"/>
          <w:szCs w:val="25"/>
        </w:rPr>
        <w:t>сім’ї</w:t>
      </w:r>
      <w:r w:rsidRPr="006D3B9D">
        <w:rPr>
          <w:sz w:val="25"/>
          <w:szCs w:val="25"/>
        </w:rPr>
        <w:t xml:space="preserve"> задекларованим доходам, відповідність способу життя судді (кандидата на посаду судді) його статусу.</w:t>
      </w:r>
    </w:p>
    <w:p w14:paraId="02337831" w14:textId="1C603BCC" w:rsidR="00DD7DD7" w:rsidRPr="006D3B9D"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Наповнюють зміст</w:t>
      </w:r>
      <w:r w:rsidR="00087FF5" w:rsidRPr="006D3B9D">
        <w:rPr>
          <w:sz w:val="25"/>
          <w:szCs w:val="25"/>
        </w:rPr>
        <w:t>ом</w:t>
      </w:r>
      <w:r w:rsidRPr="006D3B9D">
        <w:rPr>
          <w:sz w:val="25"/>
          <w:szCs w:val="25"/>
        </w:rPr>
        <w:t xml:space="preserve"> ц</w:t>
      </w:r>
      <w:r w:rsidR="00087FF5" w:rsidRPr="006D3B9D">
        <w:rPr>
          <w:sz w:val="25"/>
          <w:szCs w:val="25"/>
        </w:rPr>
        <w:t>і</w:t>
      </w:r>
      <w:r w:rsidRPr="006D3B9D">
        <w:rPr>
          <w:sz w:val="25"/>
          <w:szCs w:val="25"/>
        </w:rPr>
        <w:t xml:space="preserve"> показник</w:t>
      </w:r>
      <w:r w:rsidR="00087FF5" w:rsidRPr="006D3B9D">
        <w:rPr>
          <w:sz w:val="25"/>
          <w:szCs w:val="25"/>
        </w:rPr>
        <w:t>и</w:t>
      </w:r>
      <w:r w:rsidRPr="006D3B9D">
        <w:rPr>
          <w:sz w:val="25"/>
          <w:szCs w:val="25"/>
        </w:rPr>
        <w:t xml:space="preserve"> затверджені Вищою радою правосуддя</w:t>
      </w:r>
      <w:r w:rsidR="00DD7DD7" w:rsidRPr="006D3B9D">
        <w:rPr>
          <w:sz w:val="25"/>
          <w:szCs w:val="25"/>
        </w:rPr>
        <w:t xml:space="preserve"> Єдині показники для оцінки доброчесності та професійної етики судді (кандидата на посаду судді).</w:t>
      </w:r>
    </w:p>
    <w:p w14:paraId="624D84D4" w14:textId="00191A96" w:rsidR="00D22270" w:rsidRPr="006D3B9D"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D3B9D">
        <w:rPr>
          <w:sz w:val="25"/>
          <w:szCs w:val="25"/>
        </w:rPr>
        <w:t>.</w:t>
      </w:r>
      <w:r w:rsidRPr="006D3B9D">
        <w:rPr>
          <w:sz w:val="25"/>
          <w:szCs w:val="25"/>
        </w:rPr>
        <w:t xml:space="preserve"> </w:t>
      </w:r>
    </w:p>
    <w:p w14:paraId="7A7A44B9" w14:textId="453F9AEB" w:rsidR="00D22270" w:rsidRPr="006D3B9D" w:rsidRDefault="00D22270"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разі </w:t>
      </w:r>
      <w:r w:rsidR="00AF4DE6" w:rsidRPr="006D3B9D">
        <w:rPr>
          <w:sz w:val="25"/>
          <w:szCs w:val="25"/>
        </w:rPr>
        <w:t>істотної невідповідності показнику</w:t>
      </w:r>
      <w:r w:rsidRPr="006D3B9D">
        <w:rPr>
          <w:sz w:val="25"/>
          <w:szCs w:val="25"/>
        </w:rPr>
        <w:t xml:space="preserve"> кандидат на посаду судді визнається таким, що не відповідає критері</w:t>
      </w:r>
      <w:r w:rsidR="00F95306" w:rsidRPr="006D3B9D">
        <w:rPr>
          <w:sz w:val="25"/>
          <w:szCs w:val="25"/>
        </w:rPr>
        <w:t>ям</w:t>
      </w:r>
      <w:r w:rsidRPr="006D3B9D">
        <w:rPr>
          <w:sz w:val="25"/>
          <w:szCs w:val="25"/>
        </w:rPr>
        <w:t xml:space="preserve"> доброчесності та професійної етики</w:t>
      </w:r>
      <w:r w:rsidR="00087FF5" w:rsidRPr="006D3B9D">
        <w:rPr>
          <w:sz w:val="25"/>
          <w:szCs w:val="25"/>
        </w:rPr>
        <w:t>.</w:t>
      </w:r>
      <w:r w:rsidRPr="006D3B9D">
        <w:rPr>
          <w:sz w:val="25"/>
          <w:szCs w:val="25"/>
        </w:rPr>
        <w:t xml:space="preserve"> </w:t>
      </w:r>
      <w:r w:rsidR="00087FF5" w:rsidRPr="006D3B9D">
        <w:rPr>
          <w:sz w:val="25"/>
          <w:szCs w:val="25"/>
        </w:rPr>
        <w:t>У</w:t>
      </w:r>
      <w:r w:rsidRPr="006D3B9D">
        <w:rPr>
          <w:sz w:val="25"/>
          <w:szCs w:val="25"/>
        </w:rPr>
        <w:t xml:space="preserve"> такому разі </w:t>
      </w:r>
      <w:r w:rsidR="00F95306" w:rsidRPr="006D3B9D">
        <w:rPr>
          <w:sz w:val="25"/>
          <w:szCs w:val="25"/>
        </w:rPr>
        <w:t>відповідний</w:t>
      </w:r>
      <w:r w:rsidRPr="006D3B9D">
        <w:rPr>
          <w:sz w:val="25"/>
          <w:szCs w:val="25"/>
        </w:rPr>
        <w:t xml:space="preserve"> критерій оцін</w:t>
      </w:r>
      <w:r w:rsidR="00AF4DE6" w:rsidRPr="006D3B9D">
        <w:rPr>
          <w:sz w:val="25"/>
          <w:szCs w:val="25"/>
        </w:rPr>
        <w:t>юється</w:t>
      </w:r>
      <w:r w:rsidRPr="006D3B9D">
        <w:rPr>
          <w:sz w:val="25"/>
          <w:szCs w:val="25"/>
        </w:rPr>
        <w:t xml:space="preserve"> у 0 балів. </w:t>
      </w:r>
      <w:r w:rsidR="00AF4DE6" w:rsidRPr="006D3B9D">
        <w:rPr>
          <w:sz w:val="25"/>
          <w:szCs w:val="25"/>
        </w:rPr>
        <w:t>Д</w:t>
      </w:r>
      <w:r w:rsidRPr="006D3B9D">
        <w:rPr>
          <w:sz w:val="25"/>
          <w:szCs w:val="25"/>
        </w:rPr>
        <w:t xml:space="preserve">ля встановлення істотності обставин </w:t>
      </w:r>
      <w:r w:rsidR="00AF4DE6" w:rsidRPr="006D3B9D">
        <w:rPr>
          <w:sz w:val="25"/>
          <w:szCs w:val="25"/>
        </w:rPr>
        <w:t>використовується</w:t>
      </w:r>
      <w:r w:rsidRPr="006D3B9D">
        <w:rPr>
          <w:sz w:val="25"/>
          <w:szCs w:val="25"/>
        </w:rPr>
        <w:t xml:space="preserve"> стандарт обґрунтованого сумніву, за як</w:t>
      </w:r>
      <w:r w:rsidR="00AF4DE6" w:rsidRPr="006D3B9D">
        <w:rPr>
          <w:sz w:val="25"/>
          <w:szCs w:val="25"/>
        </w:rPr>
        <w:t>им</w:t>
      </w:r>
      <w:r w:rsidRPr="006D3B9D">
        <w:rPr>
          <w:sz w:val="25"/>
          <w:szCs w:val="25"/>
        </w:rPr>
        <w:t xml:space="preserve"> для прийняття </w:t>
      </w:r>
      <w:r w:rsidRPr="006D3B9D">
        <w:rPr>
          <w:sz w:val="25"/>
          <w:szCs w:val="25"/>
        </w:rPr>
        <w:lastRenderedPageBreak/>
        <w:t>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F95306" w:rsidRPr="006D3B9D">
        <w:rPr>
          <w:sz w:val="25"/>
          <w:szCs w:val="25"/>
        </w:rPr>
        <w:t>ям</w:t>
      </w:r>
      <w:r w:rsidRPr="006D3B9D">
        <w:rPr>
          <w:sz w:val="25"/>
          <w:szCs w:val="25"/>
        </w:rPr>
        <w:t xml:space="preserve">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6D3B9D">
        <w:rPr>
          <w:sz w:val="25"/>
          <w:szCs w:val="25"/>
        </w:rPr>
        <w:t>суб’єктивна</w:t>
      </w:r>
      <w:r w:rsidRPr="006D3B9D">
        <w:rPr>
          <w:sz w:val="25"/>
          <w:szCs w:val="25"/>
        </w:rPr>
        <w:t xml:space="preserve"> сторона поведінки, історичний контекст події, систематичність, давність порушення тощо. </w:t>
      </w:r>
    </w:p>
    <w:p w14:paraId="4DCB84A4" w14:textId="12BFA091" w:rsidR="00DD7DD7" w:rsidRPr="006D3B9D" w:rsidRDefault="00D35A39"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Пунктом 5.10 Положення про кваліфікаційне оцінювання </w:t>
      </w:r>
      <w:r w:rsidR="00E61F85" w:rsidRPr="006D3B9D">
        <w:rPr>
          <w:sz w:val="25"/>
          <w:szCs w:val="25"/>
        </w:rPr>
        <w:t>визначе</w:t>
      </w:r>
      <w:r w:rsidRPr="006D3B9D">
        <w:rPr>
          <w:sz w:val="25"/>
          <w:szCs w:val="25"/>
        </w:rPr>
        <w:t>но, що к</w:t>
      </w:r>
      <w:r w:rsidR="00DD7DD7" w:rsidRPr="006D3B9D">
        <w:rPr>
          <w:sz w:val="25"/>
          <w:szCs w:val="25"/>
        </w:rPr>
        <w:t xml:space="preserve">андидат на посаду судді не відповідає </w:t>
      </w:r>
      <w:r w:rsidRPr="006D3B9D">
        <w:rPr>
          <w:sz w:val="25"/>
          <w:szCs w:val="25"/>
        </w:rPr>
        <w:t>критері</w:t>
      </w:r>
      <w:r w:rsidR="00F95306" w:rsidRPr="006D3B9D">
        <w:rPr>
          <w:sz w:val="25"/>
          <w:szCs w:val="25"/>
        </w:rPr>
        <w:t>ям</w:t>
      </w:r>
      <w:r w:rsidRPr="006D3B9D">
        <w:rPr>
          <w:sz w:val="25"/>
          <w:szCs w:val="25"/>
        </w:rPr>
        <w:t xml:space="preserve"> доброчесності та професійної етики </w:t>
      </w:r>
      <w:r w:rsidR="00F95306" w:rsidRPr="006D3B9D">
        <w:rPr>
          <w:sz w:val="25"/>
          <w:szCs w:val="25"/>
        </w:rPr>
        <w:t>в</w:t>
      </w:r>
      <w:r w:rsidR="00DD7DD7" w:rsidRPr="006D3B9D">
        <w:rPr>
          <w:sz w:val="25"/>
          <w:szCs w:val="25"/>
        </w:rPr>
        <w:t xml:space="preserve"> разі встановлення невідповідності хоча б одному показнику, визначеному</w:t>
      </w:r>
      <w:r w:rsidRPr="006D3B9D">
        <w:rPr>
          <w:sz w:val="25"/>
          <w:szCs w:val="25"/>
        </w:rPr>
        <w:t xml:space="preserve"> пунктом 2.13</w:t>
      </w:r>
      <w:r w:rsidR="00E61F85" w:rsidRPr="006D3B9D">
        <w:rPr>
          <w:sz w:val="25"/>
          <w:szCs w:val="25"/>
        </w:rPr>
        <w:t xml:space="preserve"> </w:t>
      </w:r>
      <w:r w:rsidRPr="006D3B9D">
        <w:rPr>
          <w:sz w:val="25"/>
          <w:szCs w:val="25"/>
        </w:rPr>
        <w:t>Положення</w:t>
      </w:r>
      <w:r w:rsidR="00F95306" w:rsidRPr="006D3B9D">
        <w:rPr>
          <w:sz w:val="25"/>
          <w:szCs w:val="25"/>
        </w:rPr>
        <w:t xml:space="preserve"> про кваліфікаційне оцінювання</w:t>
      </w:r>
      <w:r w:rsidR="00E61F85" w:rsidRPr="006D3B9D">
        <w:rPr>
          <w:sz w:val="25"/>
          <w:szCs w:val="25"/>
        </w:rPr>
        <w:t>.</w:t>
      </w:r>
    </w:p>
    <w:p w14:paraId="0CF80ADD" w14:textId="78E76F6D" w:rsidR="00D35A39" w:rsidRPr="006D3B9D" w:rsidRDefault="0087667D" w:rsidP="0087667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Натомість </w:t>
      </w:r>
      <w:r w:rsidR="00D35A39" w:rsidRPr="006D3B9D">
        <w:rPr>
          <w:sz w:val="25"/>
          <w:szCs w:val="25"/>
        </w:rPr>
        <w:t xml:space="preserve">у разі </w:t>
      </w:r>
      <w:r w:rsidRPr="006D3B9D">
        <w:rPr>
          <w:sz w:val="25"/>
          <w:szCs w:val="25"/>
        </w:rPr>
        <w:t>суттєв</w:t>
      </w:r>
      <w:r w:rsidR="00D35A39" w:rsidRPr="006D3B9D">
        <w:rPr>
          <w:sz w:val="25"/>
          <w:szCs w:val="25"/>
        </w:rPr>
        <w:t>ої</w:t>
      </w:r>
      <w:r w:rsidRPr="006D3B9D">
        <w:rPr>
          <w:sz w:val="25"/>
          <w:szCs w:val="25"/>
        </w:rPr>
        <w:t xml:space="preserve"> </w:t>
      </w:r>
      <w:r w:rsidR="00D35A39" w:rsidRPr="006D3B9D">
        <w:rPr>
          <w:sz w:val="25"/>
          <w:szCs w:val="25"/>
        </w:rPr>
        <w:t xml:space="preserve">невідповідності </w:t>
      </w:r>
      <w:r w:rsidR="00E61F85" w:rsidRPr="006D3B9D">
        <w:rPr>
          <w:sz w:val="25"/>
          <w:szCs w:val="25"/>
        </w:rPr>
        <w:t xml:space="preserve">кандидата на посаду судді </w:t>
      </w:r>
      <w:r w:rsidR="00D35A39" w:rsidRPr="006D3B9D">
        <w:rPr>
          <w:sz w:val="25"/>
          <w:szCs w:val="25"/>
        </w:rPr>
        <w:t xml:space="preserve">показнику на 15 балів </w:t>
      </w:r>
      <w:r w:rsidR="00E61F85" w:rsidRPr="006D3B9D">
        <w:rPr>
          <w:sz w:val="25"/>
          <w:szCs w:val="25"/>
        </w:rPr>
        <w:t xml:space="preserve">знижується </w:t>
      </w:r>
      <w:r w:rsidR="00D35A39" w:rsidRPr="006D3B9D">
        <w:rPr>
          <w:sz w:val="25"/>
          <w:szCs w:val="25"/>
        </w:rPr>
        <w:t>оцінка за кожним показником критері</w:t>
      </w:r>
      <w:r w:rsidR="00403BDE" w:rsidRPr="006D3B9D">
        <w:rPr>
          <w:sz w:val="25"/>
          <w:szCs w:val="25"/>
        </w:rPr>
        <w:t>їв</w:t>
      </w:r>
      <w:r w:rsidR="00D35A39" w:rsidRPr="006D3B9D">
        <w:rPr>
          <w:sz w:val="25"/>
          <w:szCs w:val="25"/>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403BDE" w:rsidRPr="006D3B9D">
        <w:rPr>
          <w:sz w:val="25"/>
          <w:szCs w:val="25"/>
        </w:rPr>
        <w:t>Водночас</w:t>
      </w:r>
      <w:r w:rsidR="00D35A39" w:rsidRPr="006D3B9D">
        <w:rPr>
          <w:sz w:val="25"/>
          <w:szCs w:val="25"/>
        </w:rPr>
        <w:t xml:space="preserve"> з метою обмеження </w:t>
      </w:r>
      <w:proofErr w:type="spellStart"/>
      <w:r w:rsidR="00D35A39" w:rsidRPr="006D3B9D">
        <w:rPr>
          <w:sz w:val="25"/>
          <w:szCs w:val="25"/>
        </w:rPr>
        <w:t>дискреції</w:t>
      </w:r>
      <w:proofErr w:type="spellEnd"/>
      <w:r w:rsidR="00D35A39" w:rsidRPr="006D3B9D">
        <w:rPr>
          <w:sz w:val="25"/>
          <w:szCs w:val="25"/>
        </w:rPr>
        <w:t xml:space="preserve"> Комісії сума балів є фіксованою, а зниження </w:t>
      </w:r>
      <w:r w:rsidR="0043117E" w:rsidRPr="006D3B9D">
        <w:rPr>
          <w:sz w:val="25"/>
          <w:szCs w:val="25"/>
        </w:rPr>
        <w:t xml:space="preserve">оцінки </w:t>
      </w:r>
      <w:r w:rsidR="00D35A39" w:rsidRPr="006D3B9D">
        <w:rPr>
          <w:sz w:val="25"/>
          <w:szCs w:val="25"/>
        </w:rPr>
        <w:t xml:space="preserve">потребує окремого голосування під час закритого обговорення. </w:t>
      </w:r>
    </w:p>
    <w:p w14:paraId="3430435F" w14:textId="1EEA4D31" w:rsidR="00CA5ADF" w:rsidRPr="006D3B9D" w:rsidRDefault="00CA5ADF" w:rsidP="00CA5AD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324FBE65" w:rsidR="00F6026E" w:rsidRPr="006D3B9D" w:rsidRDefault="00F6026E" w:rsidP="00F6026E">
      <w:pPr>
        <w:jc w:val="both"/>
        <w:rPr>
          <w:b/>
          <w:sz w:val="25"/>
          <w:szCs w:val="25"/>
        </w:rPr>
      </w:pPr>
      <w:r w:rsidRPr="006D3B9D">
        <w:rPr>
          <w:b/>
          <w:sz w:val="25"/>
          <w:szCs w:val="25"/>
        </w:rPr>
        <w:t>V-V. Встановлення відповідності кандидата критері</w:t>
      </w:r>
      <w:r w:rsidR="00403BDE" w:rsidRPr="006D3B9D">
        <w:rPr>
          <w:b/>
          <w:sz w:val="25"/>
          <w:szCs w:val="25"/>
        </w:rPr>
        <w:t>ям</w:t>
      </w:r>
      <w:r w:rsidRPr="006D3B9D">
        <w:rPr>
          <w:b/>
          <w:sz w:val="25"/>
          <w:szCs w:val="25"/>
        </w:rPr>
        <w:t xml:space="preserve"> професійної етики та доброчесності.</w:t>
      </w:r>
    </w:p>
    <w:p w14:paraId="5BF47500" w14:textId="77777777" w:rsidR="00D35A39" w:rsidRPr="006D3B9D" w:rsidRDefault="00D35A39" w:rsidP="00D35A39">
      <w:pPr>
        <w:pStyle w:val="a9"/>
        <w:shd w:val="clear" w:color="auto" w:fill="FFFFFF"/>
        <w:tabs>
          <w:tab w:val="left" w:pos="426"/>
        </w:tabs>
        <w:spacing w:after="200" w:line="276" w:lineRule="auto"/>
        <w:ind w:left="709"/>
        <w:jc w:val="both"/>
        <w:rPr>
          <w:sz w:val="25"/>
          <w:szCs w:val="25"/>
        </w:rPr>
      </w:pPr>
    </w:p>
    <w:p w14:paraId="50695528" w14:textId="0137D804" w:rsidR="00EF202D" w:rsidRPr="006D3B9D" w:rsidRDefault="00EF202D" w:rsidP="00EF202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Під час дослідження матеріалів досьє кандидата на посаду судді апеляційного загального суду Комісією встановлено таке.</w:t>
      </w:r>
    </w:p>
    <w:p w14:paraId="47C07951" w14:textId="59581870" w:rsidR="008C6B6D" w:rsidRPr="006D3B9D" w:rsidRDefault="00EF202D"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w:t>
      </w:r>
      <w:r w:rsidR="0036564F" w:rsidRPr="006D3B9D">
        <w:rPr>
          <w:sz w:val="25"/>
          <w:szCs w:val="25"/>
        </w:rPr>
        <w:t>помилок</w:t>
      </w:r>
      <w:r w:rsidR="00F73CF2" w:rsidRPr="006D3B9D">
        <w:rPr>
          <w:sz w:val="25"/>
          <w:szCs w:val="25"/>
        </w:rPr>
        <w:t>, допущених кандидатом</w:t>
      </w:r>
      <w:r w:rsidR="0036564F" w:rsidRPr="006D3B9D">
        <w:rPr>
          <w:sz w:val="25"/>
          <w:szCs w:val="25"/>
        </w:rPr>
        <w:t xml:space="preserve"> під час </w:t>
      </w:r>
      <w:r w:rsidRPr="006D3B9D">
        <w:rPr>
          <w:sz w:val="25"/>
          <w:szCs w:val="25"/>
        </w:rPr>
        <w:t xml:space="preserve">декларування </w:t>
      </w:r>
      <w:r w:rsidR="0036085C" w:rsidRPr="006D3B9D">
        <w:rPr>
          <w:sz w:val="25"/>
          <w:szCs w:val="25"/>
        </w:rPr>
        <w:t xml:space="preserve">Комісія </w:t>
      </w:r>
      <w:r w:rsidR="00403BDE" w:rsidRPr="006D3B9D">
        <w:rPr>
          <w:sz w:val="25"/>
          <w:szCs w:val="25"/>
        </w:rPr>
        <w:t>зазначає наступне</w:t>
      </w:r>
      <w:r w:rsidR="0036085C" w:rsidRPr="006D3B9D">
        <w:rPr>
          <w:sz w:val="25"/>
          <w:szCs w:val="25"/>
        </w:rPr>
        <w:t>.</w:t>
      </w:r>
    </w:p>
    <w:p w14:paraId="28AA76AA" w14:textId="14931DF4" w:rsidR="00AA4FC5" w:rsidRPr="006D3B9D" w:rsidRDefault="00AA4FC5"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розділі 6 «Цінне рухоме майно </w:t>
      </w:r>
      <w:r w:rsidR="00403BDE" w:rsidRPr="006D3B9D">
        <w:rPr>
          <w:sz w:val="25"/>
          <w:szCs w:val="25"/>
        </w:rPr>
        <w:t>‒</w:t>
      </w:r>
      <w:r w:rsidRPr="006D3B9D">
        <w:rPr>
          <w:sz w:val="25"/>
          <w:szCs w:val="25"/>
        </w:rPr>
        <w:t xml:space="preserve"> транспортні засоби» декларації у відомостях про мотоцикл</w:t>
      </w:r>
      <w:r w:rsidR="007C60D7" w:rsidRPr="006D3B9D">
        <w:rPr>
          <w:sz w:val="25"/>
          <w:szCs w:val="25"/>
        </w:rPr>
        <w:t xml:space="preserve"> марки </w:t>
      </w:r>
      <w:r w:rsidRPr="006D3B9D">
        <w:rPr>
          <w:sz w:val="25"/>
          <w:szCs w:val="25"/>
        </w:rPr>
        <w:t>«BAJAJ DOMINA D 400» 2021 р</w:t>
      </w:r>
      <w:r w:rsidR="008C6B6D" w:rsidRPr="006D3B9D">
        <w:rPr>
          <w:sz w:val="25"/>
          <w:szCs w:val="25"/>
        </w:rPr>
        <w:t xml:space="preserve">оку </w:t>
      </w:r>
      <w:r w:rsidRPr="006D3B9D">
        <w:rPr>
          <w:sz w:val="25"/>
          <w:szCs w:val="25"/>
        </w:rPr>
        <w:t>в</w:t>
      </w:r>
      <w:r w:rsidR="008C6B6D" w:rsidRPr="006D3B9D">
        <w:rPr>
          <w:sz w:val="25"/>
          <w:szCs w:val="25"/>
        </w:rPr>
        <w:t>ипуску</w:t>
      </w:r>
      <w:r w:rsidRPr="006D3B9D">
        <w:rPr>
          <w:sz w:val="25"/>
          <w:szCs w:val="25"/>
        </w:rPr>
        <w:t xml:space="preserve"> кандидат</w:t>
      </w:r>
      <w:r w:rsidR="006C7C31" w:rsidRPr="006D3B9D">
        <w:rPr>
          <w:sz w:val="25"/>
          <w:szCs w:val="25"/>
        </w:rPr>
        <w:t>ка</w:t>
      </w:r>
      <w:r w:rsidRPr="006D3B9D">
        <w:rPr>
          <w:sz w:val="25"/>
          <w:szCs w:val="25"/>
        </w:rPr>
        <w:t xml:space="preserve"> у полі «Вартість на дату набуття права» зазначи</w:t>
      </w:r>
      <w:r w:rsidR="006C7C31" w:rsidRPr="006D3B9D">
        <w:rPr>
          <w:sz w:val="25"/>
          <w:szCs w:val="25"/>
        </w:rPr>
        <w:t>ла</w:t>
      </w:r>
      <w:r w:rsidRPr="006D3B9D">
        <w:rPr>
          <w:sz w:val="25"/>
          <w:szCs w:val="25"/>
        </w:rPr>
        <w:t xml:space="preserve"> вартість мотоцикла</w:t>
      </w:r>
      <w:r w:rsidR="00403BDE" w:rsidRPr="006D3B9D">
        <w:rPr>
          <w:sz w:val="25"/>
          <w:szCs w:val="25"/>
        </w:rPr>
        <w:t xml:space="preserve"> ‒</w:t>
      </w:r>
      <w:r w:rsidRPr="006D3B9D">
        <w:rPr>
          <w:sz w:val="25"/>
          <w:szCs w:val="25"/>
        </w:rPr>
        <w:t xml:space="preserve"> 127</w:t>
      </w:r>
      <w:r w:rsidR="008C6B6D" w:rsidRPr="006D3B9D">
        <w:rPr>
          <w:sz w:val="25"/>
          <w:szCs w:val="25"/>
        </w:rPr>
        <w:t> </w:t>
      </w:r>
      <w:r w:rsidRPr="006D3B9D">
        <w:rPr>
          <w:sz w:val="25"/>
          <w:szCs w:val="25"/>
        </w:rPr>
        <w:t>071 гр</w:t>
      </w:r>
      <w:r w:rsidR="00403BDE" w:rsidRPr="006D3B9D">
        <w:rPr>
          <w:sz w:val="25"/>
          <w:szCs w:val="25"/>
        </w:rPr>
        <w:t>ивень.</w:t>
      </w:r>
      <w:r w:rsidRPr="006D3B9D">
        <w:rPr>
          <w:sz w:val="25"/>
          <w:szCs w:val="25"/>
        </w:rPr>
        <w:t xml:space="preserve"> </w:t>
      </w:r>
      <w:r w:rsidR="00403BDE" w:rsidRPr="006D3B9D">
        <w:rPr>
          <w:sz w:val="25"/>
          <w:szCs w:val="25"/>
        </w:rPr>
        <w:t>В</w:t>
      </w:r>
      <w:r w:rsidR="007C60D7" w:rsidRPr="006D3B9D">
        <w:rPr>
          <w:sz w:val="25"/>
          <w:szCs w:val="25"/>
        </w:rPr>
        <w:t>ідповідно до відомостей ЄДРТЗ</w:t>
      </w:r>
      <w:r w:rsidRPr="006D3B9D">
        <w:rPr>
          <w:sz w:val="25"/>
          <w:szCs w:val="25"/>
        </w:rPr>
        <w:t xml:space="preserve"> </w:t>
      </w:r>
      <w:r w:rsidR="00403BDE" w:rsidRPr="006D3B9D">
        <w:rPr>
          <w:sz w:val="25"/>
          <w:szCs w:val="25"/>
        </w:rPr>
        <w:t xml:space="preserve"> вартість мотоцикла </w:t>
      </w:r>
      <w:r w:rsidRPr="006D3B9D">
        <w:rPr>
          <w:sz w:val="25"/>
          <w:szCs w:val="25"/>
        </w:rPr>
        <w:t>становить 60</w:t>
      </w:r>
      <w:r w:rsidR="008C6B6D" w:rsidRPr="006D3B9D">
        <w:rPr>
          <w:sz w:val="25"/>
          <w:szCs w:val="25"/>
        </w:rPr>
        <w:t> </w:t>
      </w:r>
      <w:r w:rsidRPr="006D3B9D">
        <w:rPr>
          <w:sz w:val="25"/>
          <w:szCs w:val="25"/>
        </w:rPr>
        <w:t>396 гр</w:t>
      </w:r>
      <w:r w:rsidR="007C60D7" w:rsidRPr="006D3B9D">
        <w:rPr>
          <w:sz w:val="25"/>
          <w:szCs w:val="25"/>
        </w:rPr>
        <w:t>ивень</w:t>
      </w:r>
      <w:r w:rsidRPr="006D3B9D">
        <w:rPr>
          <w:sz w:val="25"/>
          <w:szCs w:val="25"/>
        </w:rPr>
        <w:t>.</w:t>
      </w:r>
    </w:p>
    <w:p w14:paraId="040B633D" w14:textId="678106D0" w:rsidR="008C6B6D" w:rsidRPr="006D3B9D" w:rsidRDefault="00403BDE"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Кандидатка надала п</w:t>
      </w:r>
      <w:r w:rsidR="009414B0" w:rsidRPr="006D3B9D">
        <w:rPr>
          <w:sz w:val="25"/>
          <w:szCs w:val="25"/>
        </w:rPr>
        <w:t>ояснення стосовно розбіжностей під час декларування вказаного мотоцикл</w:t>
      </w:r>
      <w:r w:rsidRPr="006D3B9D">
        <w:rPr>
          <w:sz w:val="25"/>
          <w:szCs w:val="25"/>
        </w:rPr>
        <w:t>а.</w:t>
      </w:r>
    </w:p>
    <w:p w14:paraId="4B54476E" w14:textId="48F20FB6" w:rsidR="008C6B6D" w:rsidRPr="006D3B9D" w:rsidRDefault="00AA4FC5"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розділі 11 «Доходи, у тому числі подарунки» декларації за 2024 рік кандидат</w:t>
      </w:r>
      <w:r w:rsidR="007C60D7" w:rsidRPr="006D3B9D">
        <w:rPr>
          <w:sz w:val="25"/>
          <w:szCs w:val="25"/>
        </w:rPr>
        <w:t>ка</w:t>
      </w:r>
      <w:r w:rsidRPr="006D3B9D">
        <w:rPr>
          <w:sz w:val="25"/>
          <w:szCs w:val="25"/>
        </w:rPr>
        <w:t xml:space="preserve"> зазначи</w:t>
      </w:r>
      <w:r w:rsidR="007C60D7" w:rsidRPr="006D3B9D">
        <w:rPr>
          <w:sz w:val="25"/>
          <w:szCs w:val="25"/>
        </w:rPr>
        <w:t>ла</w:t>
      </w:r>
      <w:r w:rsidRPr="006D3B9D">
        <w:rPr>
          <w:sz w:val="25"/>
          <w:szCs w:val="25"/>
        </w:rPr>
        <w:t xml:space="preserve"> відомості про власний дохід від зайняття підприємницькою діяльністю </w:t>
      </w:r>
      <w:r w:rsidR="00403BDE" w:rsidRPr="006D3B9D">
        <w:rPr>
          <w:sz w:val="25"/>
          <w:szCs w:val="25"/>
        </w:rPr>
        <w:t>в</w:t>
      </w:r>
      <w:r w:rsidRPr="006D3B9D">
        <w:rPr>
          <w:sz w:val="25"/>
          <w:szCs w:val="25"/>
        </w:rPr>
        <w:t xml:space="preserve"> розмірі 950</w:t>
      </w:r>
      <w:r w:rsidR="008C6B6D" w:rsidRPr="006D3B9D">
        <w:rPr>
          <w:sz w:val="25"/>
          <w:szCs w:val="25"/>
        </w:rPr>
        <w:t> </w:t>
      </w:r>
      <w:r w:rsidRPr="006D3B9D">
        <w:rPr>
          <w:sz w:val="25"/>
          <w:szCs w:val="25"/>
        </w:rPr>
        <w:t xml:space="preserve">000,00 грн, інформація про який відсутня </w:t>
      </w:r>
      <w:r w:rsidR="00403BDE" w:rsidRPr="006D3B9D">
        <w:rPr>
          <w:sz w:val="25"/>
          <w:szCs w:val="25"/>
        </w:rPr>
        <w:t>у</w:t>
      </w:r>
      <w:r w:rsidRPr="006D3B9D">
        <w:rPr>
          <w:sz w:val="25"/>
          <w:szCs w:val="25"/>
        </w:rPr>
        <w:t xml:space="preserve"> відомост</w:t>
      </w:r>
      <w:r w:rsidR="00403BDE" w:rsidRPr="006D3B9D">
        <w:rPr>
          <w:sz w:val="25"/>
          <w:szCs w:val="25"/>
        </w:rPr>
        <w:t>ях</w:t>
      </w:r>
      <w:r w:rsidRPr="006D3B9D">
        <w:rPr>
          <w:sz w:val="25"/>
          <w:szCs w:val="25"/>
        </w:rPr>
        <w:t xml:space="preserve"> ДРФО.</w:t>
      </w:r>
    </w:p>
    <w:p w14:paraId="25F476F1" w14:textId="4B7C93C5" w:rsidR="00B62953" w:rsidRPr="006D3B9D" w:rsidRDefault="008C6B6D" w:rsidP="00B62953">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w:t>
      </w:r>
      <w:r w:rsidR="00AA4FC5" w:rsidRPr="006D3B9D">
        <w:rPr>
          <w:sz w:val="25"/>
          <w:szCs w:val="25"/>
        </w:rPr>
        <w:t>андидат</w:t>
      </w:r>
      <w:r w:rsidR="007C60D7" w:rsidRPr="006D3B9D">
        <w:rPr>
          <w:sz w:val="25"/>
          <w:szCs w:val="25"/>
        </w:rPr>
        <w:t>ка</w:t>
      </w:r>
      <w:r w:rsidR="00AA4FC5" w:rsidRPr="006D3B9D">
        <w:rPr>
          <w:sz w:val="25"/>
          <w:szCs w:val="25"/>
        </w:rPr>
        <w:t xml:space="preserve"> 23 липня 2025 року надала</w:t>
      </w:r>
      <w:r w:rsidR="007C60D7" w:rsidRPr="006D3B9D">
        <w:rPr>
          <w:sz w:val="25"/>
          <w:szCs w:val="25"/>
        </w:rPr>
        <w:t xml:space="preserve"> Комісії </w:t>
      </w:r>
      <w:r w:rsidR="00AA4FC5" w:rsidRPr="006D3B9D">
        <w:rPr>
          <w:sz w:val="25"/>
          <w:szCs w:val="25"/>
        </w:rPr>
        <w:t>копії податкової декларації платника єдиного податку</w:t>
      </w:r>
      <w:r w:rsidR="00403BDE" w:rsidRPr="006D3B9D">
        <w:rPr>
          <w:sz w:val="25"/>
          <w:szCs w:val="25"/>
        </w:rPr>
        <w:t xml:space="preserve"> ‒ </w:t>
      </w:r>
      <w:r w:rsidR="00AA4FC5" w:rsidRPr="006D3B9D">
        <w:rPr>
          <w:sz w:val="25"/>
          <w:szCs w:val="25"/>
        </w:rPr>
        <w:t>фізичної особи підприємця за 2024 рік та знімок екран</w:t>
      </w:r>
      <w:r w:rsidR="00403BDE" w:rsidRPr="006D3B9D">
        <w:rPr>
          <w:sz w:val="25"/>
          <w:szCs w:val="25"/>
        </w:rPr>
        <w:t>а</w:t>
      </w:r>
      <w:r w:rsidR="00AA4FC5" w:rsidRPr="006D3B9D">
        <w:rPr>
          <w:sz w:val="25"/>
          <w:szCs w:val="25"/>
        </w:rPr>
        <w:t xml:space="preserve"> з кабінету платника податків щодо податкової декларації про майновий стан і доходи за 2024 рік, яким підтвердила </w:t>
      </w:r>
      <w:r w:rsidR="007C60D7" w:rsidRPr="006D3B9D">
        <w:rPr>
          <w:sz w:val="25"/>
          <w:szCs w:val="25"/>
        </w:rPr>
        <w:t xml:space="preserve">наявність </w:t>
      </w:r>
      <w:r w:rsidR="00AA4FC5" w:rsidRPr="006D3B9D">
        <w:rPr>
          <w:sz w:val="25"/>
          <w:szCs w:val="25"/>
        </w:rPr>
        <w:t>вказан</w:t>
      </w:r>
      <w:r w:rsidR="007C60D7" w:rsidRPr="006D3B9D">
        <w:rPr>
          <w:sz w:val="25"/>
          <w:szCs w:val="25"/>
        </w:rPr>
        <w:t>ого</w:t>
      </w:r>
      <w:r w:rsidR="00AA4FC5" w:rsidRPr="006D3B9D">
        <w:rPr>
          <w:sz w:val="25"/>
          <w:szCs w:val="25"/>
        </w:rPr>
        <w:t xml:space="preserve"> до</w:t>
      </w:r>
      <w:r w:rsidR="007C60D7" w:rsidRPr="006D3B9D">
        <w:rPr>
          <w:sz w:val="25"/>
          <w:szCs w:val="25"/>
        </w:rPr>
        <w:t>ходу</w:t>
      </w:r>
      <w:r w:rsidR="00AA4FC5" w:rsidRPr="006D3B9D">
        <w:rPr>
          <w:sz w:val="25"/>
          <w:szCs w:val="25"/>
        </w:rPr>
        <w:t>.</w:t>
      </w:r>
    </w:p>
    <w:p w14:paraId="3FA549B6" w14:textId="1DEF227E" w:rsidR="00BE28B6" w:rsidRPr="006D3B9D" w:rsidRDefault="0020189E" w:rsidP="00BE28B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Водночас </w:t>
      </w:r>
      <w:r w:rsidR="00AA4FC5" w:rsidRPr="006D3B9D">
        <w:rPr>
          <w:sz w:val="25"/>
          <w:szCs w:val="25"/>
        </w:rPr>
        <w:t>06 серпня 2025 року кандидат</w:t>
      </w:r>
      <w:r w:rsidR="007C60D7" w:rsidRPr="006D3B9D">
        <w:rPr>
          <w:sz w:val="25"/>
          <w:szCs w:val="25"/>
        </w:rPr>
        <w:t>ка</w:t>
      </w:r>
      <w:r w:rsidR="00AA4FC5" w:rsidRPr="006D3B9D">
        <w:rPr>
          <w:sz w:val="25"/>
          <w:szCs w:val="25"/>
        </w:rPr>
        <w:t xml:space="preserve"> надала докладні письмові уточнення, </w:t>
      </w:r>
      <w:r w:rsidR="00403BDE" w:rsidRPr="006D3B9D">
        <w:rPr>
          <w:sz w:val="25"/>
          <w:szCs w:val="25"/>
        </w:rPr>
        <w:t>у</w:t>
      </w:r>
      <w:r w:rsidR="00AA4FC5" w:rsidRPr="006D3B9D">
        <w:rPr>
          <w:sz w:val="25"/>
          <w:szCs w:val="25"/>
        </w:rPr>
        <w:t xml:space="preserve"> яких повідомила, що </w:t>
      </w:r>
      <w:r w:rsidR="00403BDE" w:rsidRPr="006D3B9D">
        <w:rPr>
          <w:sz w:val="25"/>
          <w:szCs w:val="25"/>
        </w:rPr>
        <w:t>після</w:t>
      </w:r>
      <w:r w:rsidR="00AA4FC5" w:rsidRPr="006D3B9D">
        <w:rPr>
          <w:sz w:val="25"/>
          <w:szCs w:val="25"/>
        </w:rPr>
        <w:t xml:space="preserve"> ретельного аналізу банківських виписок нею встановлено, що задекларован</w:t>
      </w:r>
      <w:r w:rsidR="00B62953" w:rsidRPr="006D3B9D">
        <w:rPr>
          <w:sz w:val="25"/>
          <w:szCs w:val="25"/>
        </w:rPr>
        <w:t>ий у 2024 році дохід</w:t>
      </w:r>
      <w:r w:rsidR="00AA4FC5" w:rsidRPr="006D3B9D">
        <w:rPr>
          <w:sz w:val="25"/>
          <w:szCs w:val="25"/>
        </w:rPr>
        <w:t xml:space="preserve"> у розмірі 950</w:t>
      </w:r>
      <w:r w:rsidR="008C6B6D" w:rsidRPr="006D3B9D">
        <w:rPr>
          <w:sz w:val="25"/>
          <w:szCs w:val="25"/>
        </w:rPr>
        <w:t> </w:t>
      </w:r>
      <w:r w:rsidR="00AA4FC5" w:rsidRPr="006D3B9D">
        <w:rPr>
          <w:sz w:val="25"/>
          <w:szCs w:val="25"/>
        </w:rPr>
        <w:t>000,00 грн завищен</w:t>
      </w:r>
      <w:r w:rsidR="00DE2DFE" w:rsidRPr="006D3B9D">
        <w:rPr>
          <w:sz w:val="25"/>
          <w:szCs w:val="25"/>
        </w:rPr>
        <w:t>о</w:t>
      </w:r>
      <w:r w:rsidR="00AA4FC5" w:rsidRPr="006D3B9D">
        <w:rPr>
          <w:sz w:val="25"/>
          <w:szCs w:val="25"/>
        </w:rPr>
        <w:t>,</w:t>
      </w:r>
      <w:r w:rsidR="00B62953" w:rsidRPr="006D3B9D">
        <w:rPr>
          <w:sz w:val="25"/>
          <w:szCs w:val="25"/>
        </w:rPr>
        <w:t xml:space="preserve"> оскільки п</w:t>
      </w:r>
      <w:r w:rsidR="00DE2DFE" w:rsidRPr="006D3B9D">
        <w:rPr>
          <w:sz w:val="25"/>
          <w:szCs w:val="25"/>
        </w:rPr>
        <w:t>ід час</w:t>
      </w:r>
      <w:r w:rsidR="00B62953" w:rsidRPr="006D3B9D">
        <w:rPr>
          <w:sz w:val="25"/>
          <w:szCs w:val="25"/>
        </w:rPr>
        <w:t xml:space="preserve"> розрахунку</w:t>
      </w:r>
      <w:r w:rsidR="00AA4FC5" w:rsidRPr="006D3B9D">
        <w:rPr>
          <w:sz w:val="25"/>
          <w:szCs w:val="25"/>
        </w:rPr>
        <w:t xml:space="preserve"> </w:t>
      </w:r>
      <w:r w:rsidR="00B62953" w:rsidRPr="006D3B9D">
        <w:rPr>
          <w:sz w:val="25"/>
          <w:szCs w:val="25"/>
        </w:rPr>
        <w:t>загального розміру доходу від підприємницької діяльності було технічно допущено включення сум нарахованої пенсії</w:t>
      </w:r>
      <w:r w:rsidRPr="006D3B9D">
        <w:rPr>
          <w:sz w:val="25"/>
          <w:szCs w:val="25"/>
        </w:rPr>
        <w:t>,</w:t>
      </w:r>
      <w:r w:rsidR="00B62953" w:rsidRPr="006D3B9D">
        <w:rPr>
          <w:sz w:val="25"/>
          <w:szCs w:val="25"/>
        </w:rPr>
        <w:t xml:space="preserve"> внутрішніх переказів (зокрема між власними рахунками)</w:t>
      </w:r>
      <w:r w:rsidRPr="006D3B9D">
        <w:rPr>
          <w:sz w:val="25"/>
          <w:szCs w:val="25"/>
        </w:rPr>
        <w:t>,</w:t>
      </w:r>
      <w:r w:rsidR="00B62953" w:rsidRPr="006D3B9D">
        <w:rPr>
          <w:sz w:val="25"/>
          <w:szCs w:val="25"/>
        </w:rPr>
        <w:t xml:space="preserve"> повернення коштів за не</w:t>
      </w:r>
      <w:r w:rsidRPr="006D3B9D">
        <w:rPr>
          <w:sz w:val="25"/>
          <w:szCs w:val="25"/>
        </w:rPr>
        <w:t>о</w:t>
      </w:r>
      <w:r w:rsidR="00B62953" w:rsidRPr="006D3B9D">
        <w:rPr>
          <w:sz w:val="25"/>
          <w:szCs w:val="25"/>
        </w:rPr>
        <w:t>триманий товар чи послугу</w:t>
      </w:r>
      <w:r w:rsidRPr="006D3B9D">
        <w:rPr>
          <w:sz w:val="25"/>
          <w:szCs w:val="25"/>
        </w:rPr>
        <w:t>,</w:t>
      </w:r>
      <w:r w:rsidR="00B62953" w:rsidRPr="006D3B9D">
        <w:rPr>
          <w:sz w:val="25"/>
          <w:szCs w:val="25"/>
        </w:rPr>
        <w:t xml:space="preserve"> окремих надходжень, що не є доходом від господарської діяльності.</w:t>
      </w:r>
    </w:p>
    <w:p w14:paraId="34A726AC" w14:textId="1101F67E" w:rsidR="00BE28B6" w:rsidRPr="006D3B9D" w:rsidRDefault="00B62953" w:rsidP="00BE28B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w:t>
      </w:r>
      <w:r w:rsidR="00DE2DFE" w:rsidRPr="006D3B9D">
        <w:rPr>
          <w:sz w:val="25"/>
          <w:szCs w:val="25"/>
        </w:rPr>
        <w:t>,</w:t>
      </w:r>
      <w:r w:rsidRPr="006D3B9D">
        <w:rPr>
          <w:sz w:val="25"/>
          <w:szCs w:val="25"/>
        </w:rPr>
        <w:t xml:space="preserve"> на цей дохід було нараховано та сплачено більший обсяг податків, ніж це було необхідно, що фактично призвело до переплати до бюджету.</w:t>
      </w:r>
    </w:p>
    <w:p w14:paraId="6D41C65B" w14:textId="11C0C3B3" w:rsidR="00BE28B6" w:rsidRPr="006D3B9D" w:rsidRDefault="00B62953" w:rsidP="00BE28B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 метою виправлення зазначеної неточності </w:t>
      </w:r>
      <w:proofErr w:type="spellStart"/>
      <w:r w:rsidR="00BE28B6" w:rsidRPr="006D3B9D">
        <w:rPr>
          <w:sz w:val="25"/>
          <w:szCs w:val="25"/>
        </w:rPr>
        <w:t>Косогор</w:t>
      </w:r>
      <w:proofErr w:type="spellEnd"/>
      <w:r w:rsidR="00BE28B6" w:rsidRPr="006D3B9D">
        <w:rPr>
          <w:sz w:val="25"/>
          <w:szCs w:val="25"/>
        </w:rPr>
        <w:t xml:space="preserve"> О.М.</w:t>
      </w:r>
      <w:r w:rsidRPr="006D3B9D">
        <w:rPr>
          <w:sz w:val="25"/>
          <w:szCs w:val="25"/>
        </w:rPr>
        <w:t xml:space="preserve"> 31</w:t>
      </w:r>
      <w:r w:rsidR="00BE28B6" w:rsidRPr="006D3B9D">
        <w:rPr>
          <w:sz w:val="25"/>
          <w:szCs w:val="25"/>
        </w:rPr>
        <w:t xml:space="preserve"> липня </w:t>
      </w:r>
      <w:r w:rsidRPr="006D3B9D">
        <w:rPr>
          <w:sz w:val="25"/>
          <w:szCs w:val="25"/>
        </w:rPr>
        <w:t>2025</w:t>
      </w:r>
      <w:r w:rsidR="00BE28B6" w:rsidRPr="006D3B9D">
        <w:rPr>
          <w:sz w:val="25"/>
          <w:szCs w:val="25"/>
        </w:rPr>
        <w:t xml:space="preserve"> року</w:t>
      </w:r>
      <w:r w:rsidRPr="006D3B9D">
        <w:rPr>
          <w:sz w:val="25"/>
          <w:szCs w:val="25"/>
        </w:rPr>
        <w:t xml:space="preserve"> одночасно було подано уточню</w:t>
      </w:r>
      <w:r w:rsidR="00DE2DFE" w:rsidRPr="006D3B9D">
        <w:rPr>
          <w:sz w:val="25"/>
          <w:szCs w:val="25"/>
        </w:rPr>
        <w:t>вальну</w:t>
      </w:r>
      <w:r w:rsidRPr="006D3B9D">
        <w:rPr>
          <w:sz w:val="25"/>
          <w:szCs w:val="25"/>
        </w:rPr>
        <w:t xml:space="preserve"> податкову декларацію платника єдиного податку </w:t>
      </w:r>
      <w:r w:rsidR="00DE2DFE" w:rsidRPr="006D3B9D">
        <w:rPr>
          <w:sz w:val="25"/>
          <w:szCs w:val="25"/>
        </w:rPr>
        <w:t>‒</w:t>
      </w:r>
      <w:r w:rsidRPr="006D3B9D">
        <w:rPr>
          <w:sz w:val="25"/>
          <w:szCs w:val="25"/>
        </w:rPr>
        <w:t xml:space="preserve"> фізичної особи </w:t>
      </w:r>
      <w:r w:rsidR="00BE28B6" w:rsidRPr="006D3B9D">
        <w:rPr>
          <w:sz w:val="25"/>
          <w:szCs w:val="25"/>
        </w:rPr>
        <w:t>–</w:t>
      </w:r>
      <w:r w:rsidRPr="006D3B9D">
        <w:rPr>
          <w:sz w:val="25"/>
          <w:szCs w:val="25"/>
        </w:rPr>
        <w:t xml:space="preserve"> підприємця</w:t>
      </w:r>
      <w:r w:rsidR="00BE28B6" w:rsidRPr="006D3B9D">
        <w:rPr>
          <w:sz w:val="25"/>
          <w:szCs w:val="25"/>
        </w:rPr>
        <w:t xml:space="preserve"> </w:t>
      </w:r>
      <w:r w:rsidRPr="006D3B9D">
        <w:rPr>
          <w:sz w:val="25"/>
          <w:szCs w:val="25"/>
        </w:rPr>
        <w:t>за 2024 рік та уточню</w:t>
      </w:r>
      <w:r w:rsidR="00DE2DFE" w:rsidRPr="006D3B9D">
        <w:rPr>
          <w:sz w:val="25"/>
          <w:szCs w:val="25"/>
        </w:rPr>
        <w:t>вальну</w:t>
      </w:r>
      <w:r w:rsidRPr="006D3B9D">
        <w:rPr>
          <w:sz w:val="25"/>
          <w:szCs w:val="25"/>
        </w:rPr>
        <w:t xml:space="preserve"> податкову декларацію про майновий стан і доходи за 2024 рік. У </w:t>
      </w:r>
      <w:r w:rsidR="00DE2DFE" w:rsidRPr="006D3B9D">
        <w:rPr>
          <w:sz w:val="25"/>
          <w:szCs w:val="25"/>
        </w:rPr>
        <w:t xml:space="preserve">цих </w:t>
      </w:r>
      <w:r w:rsidR="00BE28B6" w:rsidRPr="006D3B9D">
        <w:rPr>
          <w:sz w:val="25"/>
          <w:szCs w:val="25"/>
        </w:rPr>
        <w:t>деклараціях</w:t>
      </w:r>
      <w:r w:rsidRPr="006D3B9D">
        <w:rPr>
          <w:sz w:val="25"/>
          <w:szCs w:val="25"/>
        </w:rPr>
        <w:t xml:space="preserve"> </w:t>
      </w:r>
      <w:r w:rsidR="00DE2DFE" w:rsidRPr="006D3B9D">
        <w:rPr>
          <w:sz w:val="25"/>
          <w:szCs w:val="25"/>
        </w:rPr>
        <w:t xml:space="preserve">вказано </w:t>
      </w:r>
      <w:r w:rsidRPr="006D3B9D">
        <w:rPr>
          <w:sz w:val="25"/>
          <w:szCs w:val="25"/>
        </w:rPr>
        <w:t>фактичний дохід від підприємницької діяльності за 2024 рік у розмірі 894</w:t>
      </w:r>
      <w:r w:rsidR="00BE28B6" w:rsidRPr="006D3B9D">
        <w:rPr>
          <w:sz w:val="25"/>
          <w:szCs w:val="25"/>
        </w:rPr>
        <w:t> </w:t>
      </w:r>
      <w:r w:rsidRPr="006D3B9D">
        <w:rPr>
          <w:sz w:val="25"/>
          <w:szCs w:val="25"/>
        </w:rPr>
        <w:t xml:space="preserve">852 грн, який повністю </w:t>
      </w:r>
      <w:r w:rsidR="00BE28B6" w:rsidRPr="006D3B9D">
        <w:rPr>
          <w:sz w:val="25"/>
          <w:szCs w:val="25"/>
        </w:rPr>
        <w:t>підтверджується</w:t>
      </w:r>
      <w:r w:rsidRPr="006D3B9D">
        <w:rPr>
          <w:sz w:val="25"/>
          <w:szCs w:val="25"/>
        </w:rPr>
        <w:t xml:space="preserve"> виписками </w:t>
      </w:r>
      <w:r w:rsidR="00DE2DFE" w:rsidRPr="006D3B9D">
        <w:rPr>
          <w:sz w:val="25"/>
          <w:szCs w:val="25"/>
        </w:rPr>
        <w:t>за</w:t>
      </w:r>
      <w:r w:rsidRPr="006D3B9D">
        <w:rPr>
          <w:sz w:val="25"/>
          <w:szCs w:val="25"/>
        </w:rPr>
        <w:t xml:space="preserve"> рахунк</w:t>
      </w:r>
      <w:r w:rsidR="00DE2DFE" w:rsidRPr="006D3B9D">
        <w:rPr>
          <w:sz w:val="25"/>
          <w:szCs w:val="25"/>
        </w:rPr>
        <w:t>ом</w:t>
      </w:r>
      <w:r w:rsidR="00BE28B6" w:rsidRPr="006D3B9D">
        <w:rPr>
          <w:sz w:val="25"/>
          <w:szCs w:val="25"/>
        </w:rPr>
        <w:t>, світлокопії яких</w:t>
      </w:r>
      <w:r w:rsidR="007C60D7" w:rsidRPr="006D3B9D">
        <w:rPr>
          <w:sz w:val="25"/>
          <w:szCs w:val="25"/>
        </w:rPr>
        <w:t xml:space="preserve"> нею</w:t>
      </w:r>
      <w:r w:rsidR="00BE28B6" w:rsidRPr="006D3B9D">
        <w:rPr>
          <w:sz w:val="25"/>
          <w:szCs w:val="25"/>
        </w:rPr>
        <w:t xml:space="preserve"> долучено до пояснень</w:t>
      </w:r>
      <w:r w:rsidR="007C60D7" w:rsidRPr="006D3B9D">
        <w:rPr>
          <w:sz w:val="25"/>
          <w:szCs w:val="25"/>
        </w:rPr>
        <w:t xml:space="preserve"> від 06 серпня 2025 року</w:t>
      </w:r>
      <w:r w:rsidR="00BE28B6" w:rsidRPr="006D3B9D">
        <w:rPr>
          <w:sz w:val="25"/>
          <w:szCs w:val="25"/>
        </w:rPr>
        <w:t>,</w:t>
      </w:r>
      <w:r w:rsidRPr="006D3B9D">
        <w:rPr>
          <w:sz w:val="25"/>
          <w:szCs w:val="25"/>
        </w:rPr>
        <w:t xml:space="preserve"> та складається виключно з коштів, отриманих </w:t>
      </w:r>
      <w:proofErr w:type="spellStart"/>
      <w:r w:rsidR="007C60D7" w:rsidRPr="006D3B9D">
        <w:rPr>
          <w:sz w:val="25"/>
          <w:szCs w:val="25"/>
        </w:rPr>
        <w:t>Косогор</w:t>
      </w:r>
      <w:proofErr w:type="spellEnd"/>
      <w:r w:rsidR="007C60D7" w:rsidRPr="006D3B9D">
        <w:rPr>
          <w:sz w:val="25"/>
          <w:szCs w:val="25"/>
        </w:rPr>
        <w:t xml:space="preserve"> О.М. </w:t>
      </w:r>
      <w:r w:rsidRPr="006D3B9D">
        <w:rPr>
          <w:sz w:val="25"/>
          <w:szCs w:val="25"/>
        </w:rPr>
        <w:t xml:space="preserve">від громадян за результатами здійснення підприємницької діяльності. </w:t>
      </w:r>
      <w:r w:rsidR="00DE2DFE" w:rsidRPr="006D3B9D">
        <w:rPr>
          <w:sz w:val="25"/>
          <w:szCs w:val="25"/>
        </w:rPr>
        <w:t>Цей</w:t>
      </w:r>
      <w:r w:rsidRPr="006D3B9D">
        <w:rPr>
          <w:sz w:val="25"/>
          <w:szCs w:val="25"/>
        </w:rPr>
        <w:t xml:space="preserve"> дохід отриман</w:t>
      </w:r>
      <w:r w:rsidR="00DE2DFE" w:rsidRPr="006D3B9D">
        <w:rPr>
          <w:sz w:val="25"/>
          <w:szCs w:val="25"/>
        </w:rPr>
        <w:t>о</w:t>
      </w:r>
      <w:r w:rsidRPr="006D3B9D">
        <w:rPr>
          <w:sz w:val="25"/>
          <w:szCs w:val="25"/>
        </w:rPr>
        <w:t xml:space="preserve"> шляхом зарахування на банківський рахунок, що</w:t>
      </w:r>
      <w:r w:rsidR="007C60D7" w:rsidRPr="006D3B9D">
        <w:rPr>
          <w:sz w:val="25"/>
          <w:szCs w:val="25"/>
        </w:rPr>
        <w:t xml:space="preserve">, на переконання кандидатки, </w:t>
      </w:r>
      <w:r w:rsidRPr="006D3B9D">
        <w:rPr>
          <w:sz w:val="25"/>
          <w:szCs w:val="25"/>
        </w:rPr>
        <w:t>забезпечує прозорість кожної фінансової операції.</w:t>
      </w:r>
    </w:p>
    <w:p w14:paraId="52C6DC65" w14:textId="16E32AAE" w:rsidR="00B62953" w:rsidRPr="006D3B9D" w:rsidRDefault="00BE28B6" w:rsidP="00BE28B6">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Кандидат просила врахувати, що в</w:t>
      </w:r>
      <w:r w:rsidR="00B62953" w:rsidRPr="006D3B9D">
        <w:rPr>
          <w:sz w:val="25"/>
          <w:szCs w:val="25"/>
        </w:rPr>
        <w:t xml:space="preserve">сі уточнені дані мають документальне підтвердження та є відображенням </w:t>
      </w:r>
      <w:r w:rsidRPr="006D3B9D">
        <w:rPr>
          <w:sz w:val="25"/>
          <w:szCs w:val="25"/>
        </w:rPr>
        <w:t>її</w:t>
      </w:r>
      <w:r w:rsidR="00B62953" w:rsidRPr="006D3B9D">
        <w:rPr>
          <w:sz w:val="25"/>
          <w:szCs w:val="25"/>
        </w:rPr>
        <w:t xml:space="preserve"> прагнення до максимальної прозорості, відповідальності та добросовісності </w:t>
      </w:r>
      <w:r w:rsidR="00DE2DFE" w:rsidRPr="006D3B9D">
        <w:rPr>
          <w:sz w:val="25"/>
          <w:szCs w:val="25"/>
        </w:rPr>
        <w:t>в</w:t>
      </w:r>
      <w:r w:rsidR="00B62953" w:rsidRPr="006D3B9D">
        <w:rPr>
          <w:sz w:val="25"/>
          <w:szCs w:val="25"/>
        </w:rPr>
        <w:t xml:space="preserve"> процесі декларування.</w:t>
      </w:r>
    </w:p>
    <w:p w14:paraId="240AE38C" w14:textId="0673CDC4" w:rsidR="008C6B6D" w:rsidRPr="006D3B9D" w:rsidRDefault="00DE2DFE"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w:t>
      </w:r>
      <w:r w:rsidR="00AA4FC5" w:rsidRPr="006D3B9D">
        <w:rPr>
          <w:sz w:val="25"/>
          <w:szCs w:val="25"/>
        </w:rPr>
        <w:t>декларації за 2022 р</w:t>
      </w:r>
      <w:r w:rsidR="008C6B6D" w:rsidRPr="006D3B9D">
        <w:rPr>
          <w:sz w:val="25"/>
          <w:szCs w:val="25"/>
        </w:rPr>
        <w:t>ік</w:t>
      </w:r>
      <w:r w:rsidR="00AA4FC5" w:rsidRPr="006D3B9D">
        <w:rPr>
          <w:sz w:val="25"/>
          <w:szCs w:val="25"/>
        </w:rPr>
        <w:t xml:space="preserve"> </w:t>
      </w:r>
      <w:r w:rsidR="008C6B6D" w:rsidRPr="006D3B9D">
        <w:rPr>
          <w:sz w:val="25"/>
          <w:szCs w:val="25"/>
        </w:rPr>
        <w:t>кандидат</w:t>
      </w:r>
      <w:r w:rsidR="00AA4FC5" w:rsidRPr="006D3B9D">
        <w:rPr>
          <w:sz w:val="25"/>
          <w:szCs w:val="25"/>
        </w:rPr>
        <w:t xml:space="preserve"> </w:t>
      </w:r>
      <w:r w:rsidR="008C6B6D" w:rsidRPr="006D3B9D">
        <w:rPr>
          <w:sz w:val="25"/>
          <w:szCs w:val="25"/>
        </w:rPr>
        <w:t>за</w:t>
      </w:r>
      <w:r w:rsidR="00AA4FC5" w:rsidRPr="006D3B9D">
        <w:rPr>
          <w:sz w:val="25"/>
          <w:szCs w:val="25"/>
        </w:rPr>
        <w:t>деклар</w:t>
      </w:r>
      <w:r w:rsidR="008C6B6D" w:rsidRPr="006D3B9D">
        <w:rPr>
          <w:sz w:val="25"/>
          <w:szCs w:val="25"/>
        </w:rPr>
        <w:t>увала</w:t>
      </w:r>
      <w:r w:rsidR="00AA4FC5" w:rsidRPr="006D3B9D">
        <w:rPr>
          <w:sz w:val="25"/>
          <w:szCs w:val="25"/>
        </w:rPr>
        <w:t xml:space="preserve"> земельну ділянку загальною площею 4,06 </w:t>
      </w:r>
      <w:proofErr w:type="spellStart"/>
      <w:r w:rsidR="00AA4FC5" w:rsidRPr="006D3B9D">
        <w:rPr>
          <w:sz w:val="25"/>
          <w:szCs w:val="25"/>
        </w:rPr>
        <w:t>кв.м</w:t>
      </w:r>
      <w:proofErr w:type="spellEnd"/>
      <w:r w:rsidR="00AA4FC5" w:rsidRPr="006D3B9D">
        <w:rPr>
          <w:sz w:val="25"/>
          <w:szCs w:val="25"/>
        </w:rPr>
        <w:t xml:space="preserve"> у с. </w:t>
      </w:r>
      <w:proofErr w:type="spellStart"/>
      <w:r w:rsidR="00AA4FC5" w:rsidRPr="006D3B9D">
        <w:rPr>
          <w:sz w:val="25"/>
          <w:szCs w:val="25"/>
        </w:rPr>
        <w:t>Райківщина</w:t>
      </w:r>
      <w:proofErr w:type="spellEnd"/>
      <w:r w:rsidR="00AA4FC5" w:rsidRPr="006D3B9D">
        <w:rPr>
          <w:sz w:val="25"/>
          <w:szCs w:val="25"/>
        </w:rPr>
        <w:t xml:space="preserve"> Київськ</w:t>
      </w:r>
      <w:r w:rsidR="0020189E" w:rsidRPr="006D3B9D">
        <w:rPr>
          <w:sz w:val="25"/>
          <w:szCs w:val="25"/>
        </w:rPr>
        <w:t>ої</w:t>
      </w:r>
      <w:r w:rsidR="00AA4FC5" w:rsidRPr="006D3B9D">
        <w:rPr>
          <w:sz w:val="25"/>
          <w:szCs w:val="25"/>
        </w:rPr>
        <w:t xml:space="preserve"> об</w:t>
      </w:r>
      <w:r w:rsidRPr="006D3B9D">
        <w:rPr>
          <w:sz w:val="25"/>
          <w:szCs w:val="25"/>
        </w:rPr>
        <w:t>л.</w:t>
      </w:r>
      <w:r w:rsidR="00AA4FC5" w:rsidRPr="006D3B9D">
        <w:rPr>
          <w:sz w:val="25"/>
          <w:szCs w:val="25"/>
        </w:rPr>
        <w:t xml:space="preserve"> (дата набуття</w:t>
      </w:r>
      <w:r w:rsidRPr="006D3B9D">
        <w:rPr>
          <w:sz w:val="25"/>
          <w:szCs w:val="25"/>
        </w:rPr>
        <w:t xml:space="preserve"> ‒</w:t>
      </w:r>
      <w:r w:rsidR="00AA4FC5" w:rsidRPr="006D3B9D">
        <w:rPr>
          <w:sz w:val="25"/>
          <w:szCs w:val="25"/>
        </w:rPr>
        <w:t xml:space="preserve"> 22</w:t>
      </w:r>
      <w:r w:rsidR="00BE28B6" w:rsidRPr="006D3B9D">
        <w:rPr>
          <w:sz w:val="25"/>
          <w:szCs w:val="25"/>
        </w:rPr>
        <w:t xml:space="preserve"> грудня </w:t>
      </w:r>
      <w:r w:rsidR="00AA4FC5" w:rsidRPr="006D3B9D">
        <w:rPr>
          <w:sz w:val="25"/>
          <w:szCs w:val="25"/>
        </w:rPr>
        <w:t>2021</w:t>
      </w:r>
      <w:r w:rsidR="00BE28B6" w:rsidRPr="006D3B9D">
        <w:rPr>
          <w:sz w:val="25"/>
          <w:szCs w:val="25"/>
        </w:rPr>
        <w:t xml:space="preserve"> року</w:t>
      </w:r>
      <w:r w:rsidR="00AA4FC5" w:rsidRPr="006D3B9D">
        <w:rPr>
          <w:sz w:val="25"/>
          <w:szCs w:val="25"/>
        </w:rPr>
        <w:t xml:space="preserve">), </w:t>
      </w:r>
      <w:r w:rsidRPr="006D3B9D">
        <w:rPr>
          <w:sz w:val="25"/>
          <w:szCs w:val="25"/>
        </w:rPr>
        <w:t>проте</w:t>
      </w:r>
      <w:r w:rsidR="00AA4FC5" w:rsidRPr="006D3B9D">
        <w:rPr>
          <w:sz w:val="25"/>
          <w:szCs w:val="25"/>
        </w:rPr>
        <w:t xml:space="preserve"> відповідно до відомостей з </w:t>
      </w:r>
      <w:r w:rsidR="00BE28B6" w:rsidRPr="006D3B9D">
        <w:rPr>
          <w:sz w:val="25"/>
          <w:szCs w:val="25"/>
        </w:rPr>
        <w:t xml:space="preserve">Державного реєстру речових прав (далі – </w:t>
      </w:r>
      <w:r w:rsidR="00AA4FC5" w:rsidRPr="006D3B9D">
        <w:rPr>
          <w:sz w:val="25"/>
          <w:szCs w:val="25"/>
        </w:rPr>
        <w:t>ДРРП</w:t>
      </w:r>
      <w:r w:rsidR="00BE28B6" w:rsidRPr="006D3B9D">
        <w:rPr>
          <w:sz w:val="25"/>
          <w:szCs w:val="25"/>
        </w:rPr>
        <w:t>)</w:t>
      </w:r>
      <w:r w:rsidR="00AA4FC5" w:rsidRPr="006D3B9D">
        <w:rPr>
          <w:sz w:val="25"/>
          <w:szCs w:val="25"/>
        </w:rPr>
        <w:t xml:space="preserve"> площа вказаної земельної ділянки становить 4,06 га. </w:t>
      </w:r>
      <w:r w:rsidRPr="006D3B9D">
        <w:rPr>
          <w:sz w:val="25"/>
          <w:szCs w:val="25"/>
        </w:rPr>
        <w:t>Крім того,</w:t>
      </w:r>
      <w:r w:rsidR="00AA4FC5" w:rsidRPr="006D3B9D">
        <w:rPr>
          <w:sz w:val="25"/>
          <w:szCs w:val="25"/>
        </w:rPr>
        <w:t xml:space="preserve"> </w:t>
      </w:r>
      <w:r w:rsidR="00BE28B6" w:rsidRPr="006D3B9D">
        <w:rPr>
          <w:sz w:val="25"/>
          <w:szCs w:val="25"/>
        </w:rPr>
        <w:t>кандидатка</w:t>
      </w:r>
      <w:r w:rsidR="00AA4FC5" w:rsidRPr="006D3B9D">
        <w:rPr>
          <w:sz w:val="25"/>
          <w:szCs w:val="25"/>
        </w:rPr>
        <w:t xml:space="preserve"> зазнач</w:t>
      </w:r>
      <w:r w:rsidR="00BE28B6" w:rsidRPr="006D3B9D">
        <w:rPr>
          <w:sz w:val="25"/>
          <w:szCs w:val="25"/>
        </w:rPr>
        <w:t>ила</w:t>
      </w:r>
      <w:r w:rsidR="00AA4FC5" w:rsidRPr="006D3B9D">
        <w:rPr>
          <w:sz w:val="25"/>
          <w:szCs w:val="25"/>
        </w:rPr>
        <w:t xml:space="preserve">, що </w:t>
      </w:r>
      <w:r w:rsidR="00BE28B6" w:rsidRPr="006D3B9D">
        <w:rPr>
          <w:sz w:val="25"/>
          <w:szCs w:val="25"/>
        </w:rPr>
        <w:t>ця</w:t>
      </w:r>
      <w:r w:rsidR="00AA4FC5" w:rsidRPr="006D3B9D">
        <w:rPr>
          <w:sz w:val="25"/>
          <w:szCs w:val="25"/>
        </w:rPr>
        <w:t xml:space="preserve"> земельна ділянка є спільною частковою власністю </w:t>
      </w:r>
      <w:r w:rsidR="008C6B6D" w:rsidRPr="006D3B9D">
        <w:rPr>
          <w:sz w:val="25"/>
          <w:szCs w:val="25"/>
        </w:rPr>
        <w:t>кандидата</w:t>
      </w:r>
      <w:r w:rsidR="00AA4FC5" w:rsidRPr="006D3B9D">
        <w:rPr>
          <w:sz w:val="25"/>
          <w:szCs w:val="25"/>
        </w:rPr>
        <w:t xml:space="preserve"> (50 %) та</w:t>
      </w:r>
      <w:r w:rsidR="008C6B6D" w:rsidRPr="006D3B9D">
        <w:rPr>
          <w:sz w:val="25"/>
          <w:szCs w:val="25"/>
        </w:rPr>
        <w:t xml:space="preserve"> її</w:t>
      </w:r>
      <w:r w:rsidR="00AA4FC5" w:rsidRPr="006D3B9D">
        <w:rPr>
          <w:sz w:val="25"/>
          <w:szCs w:val="25"/>
        </w:rPr>
        <w:t xml:space="preserve"> чоловіка (50 %)</w:t>
      </w:r>
      <w:r w:rsidR="00BE28B6" w:rsidRPr="006D3B9D">
        <w:rPr>
          <w:sz w:val="25"/>
          <w:szCs w:val="25"/>
        </w:rPr>
        <w:t>. Згідно</w:t>
      </w:r>
      <w:r w:rsidRPr="006D3B9D">
        <w:rPr>
          <w:sz w:val="25"/>
          <w:szCs w:val="25"/>
        </w:rPr>
        <w:t xml:space="preserve"> з</w:t>
      </w:r>
      <w:r w:rsidR="00BE28B6" w:rsidRPr="006D3B9D">
        <w:rPr>
          <w:sz w:val="25"/>
          <w:szCs w:val="25"/>
        </w:rPr>
        <w:t xml:space="preserve"> відомост</w:t>
      </w:r>
      <w:r w:rsidRPr="006D3B9D">
        <w:rPr>
          <w:sz w:val="25"/>
          <w:szCs w:val="25"/>
        </w:rPr>
        <w:t>ями</w:t>
      </w:r>
      <w:r w:rsidR="00BE28B6" w:rsidRPr="006D3B9D">
        <w:rPr>
          <w:sz w:val="25"/>
          <w:szCs w:val="25"/>
        </w:rPr>
        <w:t xml:space="preserve"> з ДРРП</w:t>
      </w:r>
      <w:r w:rsidR="00AA4FC5" w:rsidRPr="006D3B9D">
        <w:rPr>
          <w:sz w:val="25"/>
          <w:szCs w:val="25"/>
        </w:rPr>
        <w:t xml:space="preserve"> </w:t>
      </w:r>
      <w:r w:rsidR="00BE28B6" w:rsidRPr="006D3B9D">
        <w:rPr>
          <w:sz w:val="25"/>
          <w:szCs w:val="25"/>
        </w:rPr>
        <w:t>ця земельна</w:t>
      </w:r>
      <w:r w:rsidR="00AA4FC5" w:rsidRPr="006D3B9D">
        <w:rPr>
          <w:sz w:val="25"/>
          <w:szCs w:val="25"/>
        </w:rPr>
        <w:t xml:space="preserve"> ділянка належить на праві власності</w:t>
      </w:r>
      <w:r w:rsidR="007C60D7" w:rsidRPr="006D3B9D">
        <w:rPr>
          <w:sz w:val="25"/>
          <w:szCs w:val="25"/>
        </w:rPr>
        <w:t xml:space="preserve"> виключно</w:t>
      </w:r>
      <w:r w:rsidR="00AA4FC5" w:rsidRPr="006D3B9D">
        <w:rPr>
          <w:sz w:val="25"/>
          <w:szCs w:val="25"/>
        </w:rPr>
        <w:t xml:space="preserve"> чоловіку</w:t>
      </w:r>
      <w:r w:rsidR="007C60D7" w:rsidRPr="006D3B9D">
        <w:rPr>
          <w:sz w:val="25"/>
          <w:szCs w:val="25"/>
        </w:rPr>
        <w:t xml:space="preserve"> кандидатки</w:t>
      </w:r>
      <w:r w:rsidR="00AA4FC5" w:rsidRPr="006D3B9D">
        <w:rPr>
          <w:sz w:val="25"/>
          <w:szCs w:val="25"/>
        </w:rPr>
        <w:t xml:space="preserve"> (отримав у спадок)</w:t>
      </w:r>
      <w:r w:rsidR="00BE28B6" w:rsidRPr="006D3B9D">
        <w:rPr>
          <w:sz w:val="25"/>
          <w:szCs w:val="25"/>
        </w:rPr>
        <w:t>.</w:t>
      </w:r>
    </w:p>
    <w:p w14:paraId="3CF50C5F" w14:textId="6353D8E7" w:rsidR="008C6B6D" w:rsidRPr="006D3B9D" w:rsidRDefault="00DE2DFE"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w:t>
      </w:r>
      <w:r w:rsidR="00AA4FC5" w:rsidRPr="006D3B9D">
        <w:rPr>
          <w:sz w:val="25"/>
          <w:szCs w:val="25"/>
        </w:rPr>
        <w:t xml:space="preserve"> декларації за 2022 </w:t>
      </w:r>
      <w:r w:rsidRPr="006D3B9D">
        <w:rPr>
          <w:sz w:val="25"/>
          <w:szCs w:val="25"/>
        </w:rPr>
        <w:t>рік</w:t>
      </w:r>
      <w:r w:rsidR="00AA4FC5" w:rsidRPr="006D3B9D">
        <w:rPr>
          <w:sz w:val="25"/>
          <w:szCs w:val="25"/>
        </w:rPr>
        <w:t xml:space="preserve"> </w:t>
      </w:r>
      <w:r w:rsidR="008C6B6D" w:rsidRPr="006D3B9D">
        <w:rPr>
          <w:sz w:val="25"/>
          <w:szCs w:val="25"/>
        </w:rPr>
        <w:t>кандидат</w:t>
      </w:r>
      <w:r w:rsidR="00BE28B6" w:rsidRPr="006D3B9D">
        <w:rPr>
          <w:sz w:val="25"/>
          <w:szCs w:val="25"/>
        </w:rPr>
        <w:t>ка</w:t>
      </w:r>
      <w:r w:rsidR="00AA4FC5" w:rsidRPr="006D3B9D">
        <w:rPr>
          <w:sz w:val="25"/>
          <w:szCs w:val="25"/>
        </w:rPr>
        <w:t xml:space="preserve"> декларуєте земельну ділянку загальною площею 0,4 </w:t>
      </w:r>
      <w:proofErr w:type="spellStart"/>
      <w:r w:rsidR="00AA4FC5" w:rsidRPr="006D3B9D">
        <w:rPr>
          <w:sz w:val="25"/>
          <w:szCs w:val="25"/>
        </w:rPr>
        <w:t>кв.м</w:t>
      </w:r>
      <w:proofErr w:type="spellEnd"/>
      <w:r w:rsidR="00AA4FC5" w:rsidRPr="006D3B9D">
        <w:rPr>
          <w:sz w:val="25"/>
          <w:szCs w:val="25"/>
        </w:rPr>
        <w:t xml:space="preserve"> у с. </w:t>
      </w:r>
      <w:proofErr w:type="spellStart"/>
      <w:r w:rsidR="00AA4FC5" w:rsidRPr="006D3B9D">
        <w:rPr>
          <w:sz w:val="25"/>
          <w:szCs w:val="25"/>
        </w:rPr>
        <w:t>Райківщина</w:t>
      </w:r>
      <w:proofErr w:type="spellEnd"/>
      <w:r w:rsidR="00AA4FC5" w:rsidRPr="006D3B9D">
        <w:rPr>
          <w:sz w:val="25"/>
          <w:szCs w:val="25"/>
        </w:rPr>
        <w:t xml:space="preserve"> Київськ</w:t>
      </w:r>
      <w:r w:rsidR="0020189E" w:rsidRPr="006D3B9D">
        <w:rPr>
          <w:sz w:val="25"/>
          <w:szCs w:val="25"/>
        </w:rPr>
        <w:t>ої</w:t>
      </w:r>
      <w:r w:rsidR="00AA4FC5" w:rsidRPr="006D3B9D">
        <w:rPr>
          <w:sz w:val="25"/>
          <w:szCs w:val="25"/>
        </w:rPr>
        <w:t xml:space="preserve"> обл</w:t>
      </w:r>
      <w:r w:rsidRPr="006D3B9D">
        <w:rPr>
          <w:sz w:val="25"/>
          <w:szCs w:val="25"/>
        </w:rPr>
        <w:t>.</w:t>
      </w:r>
      <w:r w:rsidR="00AA4FC5" w:rsidRPr="006D3B9D">
        <w:rPr>
          <w:sz w:val="25"/>
          <w:szCs w:val="25"/>
        </w:rPr>
        <w:t xml:space="preserve"> (дата набуття</w:t>
      </w:r>
      <w:r w:rsidRPr="006D3B9D">
        <w:rPr>
          <w:sz w:val="25"/>
          <w:szCs w:val="25"/>
        </w:rPr>
        <w:t xml:space="preserve"> ‒</w:t>
      </w:r>
      <w:r w:rsidR="00AA4FC5" w:rsidRPr="006D3B9D">
        <w:rPr>
          <w:sz w:val="25"/>
          <w:szCs w:val="25"/>
        </w:rPr>
        <w:t xml:space="preserve"> 22</w:t>
      </w:r>
      <w:r w:rsidR="00BE28B6" w:rsidRPr="006D3B9D">
        <w:rPr>
          <w:sz w:val="25"/>
          <w:szCs w:val="25"/>
        </w:rPr>
        <w:t xml:space="preserve"> грудня </w:t>
      </w:r>
      <w:r w:rsidR="00AA4FC5" w:rsidRPr="006D3B9D">
        <w:rPr>
          <w:sz w:val="25"/>
          <w:szCs w:val="25"/>
        </w:rPr>
        <w:t>2021</w:t>
      </w:r>
      <w:r w:rsidR="00BE28B6" w:rsidRPr="006D3B9D">
        <w:rPr>
          <w:sz w:val="25"/>
          <w:szCs w:val="25"/>
        </w:rPr>
        <w:t xml:space="preserve"> року</w:t>
      </w:r>
      <w:r w:rsidR="00AA4FC5" w:rsidRPr="006D3B9D">
        <w:rPr>
          <w:sz w:val="25"/>
          <w:szCs w:val="25"/>
        </w:rPr>
        <w:t xml:space="preserve">), </w:t>
      </w:r>
      <w:r w:rsidRPr="006D3B9D">
        <w:rPr>
          <w:sz w:val="25"/>
          <w:szCs w:val="25"/>
        </w:rPr>
        <w:t>однак</w:t>
      </w:r>
      <w:r w:rsidR="00AA4FC5" w:rsidRPr="006D3B9D">
        <w:rPr>
          <w:sz w:val="25"/>
          <w:szCs w:val="25"/>
        </w:rPr>
        <w:t xml:space="preserve"> відповідно до відомостей з ДРРП площа вказаної земельної ділянки становить 0,3965 га. </w:t>
      </w:r>
      <w:r w:rsidRPr="006D3B9D">
        <w:rPr>
          <w:sz w:val="25"/>
          <w:szCs w:val="25"/>
        </w:rPr>
        <w:t>В</w:t>
      </w:r>
      <w:r w:rsidR="00AA4FC5" w:rsidRPr="006D3B9D">
        <w:rPr>
          <w:sz w:val="25"/>
          <w:szCs w:val="25"/>
        </w:rPr>
        <w:t xml:space="preserve"> декларації </w:t>
      </w:r>
      <w:r w:rsidRPr="006D3B9D">
        <w:rPr>
          <w:sz w:val="25"/>
          <w:szCs w:val="25"/>
        </w:rPr>
        <w:t xml:space="preserve"> також </w:t>
      </w:r>
      <w:r w:rsidR="00AA4FC5" w:rsidRPr="006D3B9D">
        <w:rPr>
          <w:sz w:val="25"/>
          <w:szCs w:val="25"/>
        </w:rPr>
        <w:t>зазнач</w:t>
      </w:r>
      <w:r w:rsidR="00BE28B6" w:rsidRPr="006D3B9D">
        <w:rPr>
          <w:sz w:val="25"/>
          <w:szCs w:val="25"/>
        </w:rPr>
        <w:t>ено</w:t>
      </w:r>
      <w:r w:rsidR="00AA4FC5" w:rsidRPr="006D3B9D">
        <w:rPr>
          <w:sz w:val="25"/>
          <w:szCs w:val="25"/>
        </w:rPr>
        <w:t xml:space="preserve">, що така земельна ділянка є спільною частковою власністю </w:t>
      </w:r>
      <w:r w:rsidR="008C6B6D" w:rsidRPr="006D3B9D">
        <w:rPr>
          <w:sz w:val="25"/>
          <w:szCs w:val="25"/>
        </w:rPr>
        <w:t>кандидата</w:t>
      </w:r>
      <w:r w:rsidR="00AA4FC5" w:rsidRPr="006D3B9D">
        <w:rPr>
          <w:sz w:val="25"/>
          <w:szCs w:val="25"/>
        </w:rPr>
        <w:t xml:space="preserve"> (50 %) та</w:t>
      </w:r>
      <w:r w:rsidR="008C6B6D" w:rsidRPr="006D3B9D">
        <w:rPr>
          <w:sz w:val="25"/>
          <w:szCs w:val="25"/>
        </w:rPr>
        <w:t xml:space="preserve"> її</w:t>
      </w:r>
      <w:r w:rsidR="00AA4FC5" w:rsidRPr="006D3B9D">
        <w:rPr>
          <w:sz w:val="25"/>
          <w:szCs w:val="25"/>
        </w:rPr>
        <w:t xml:space="preserve"> чоловіка (50 %)</w:t>
      </w:r>
      <w:r w:rsidR="00BE28B6" w:rsidRPr="006D3B9D">
        <w:rPr>
          <w:sz w:val="25"/>
          <w:szCs w:val="25"/>
        </w:rPr>
        <w:t xml:space="preserve">. </w:t>
      </w:r>
      <w:r w:rsidRPr="006D3B9D">
        <w:rPr>
          <w:sz w:val="25"/>
          <w:szCs w:val="25"/>
        </w:rPr>
        <w:t>Відповідно до</w:t>
      </w:r>
      <w:r w:rsidR="00BE28B6" w:rsidRPr="006D3B9D">
        <w:rPr>
          <w:sz w:val="25"/>
          <w:szCs w:val="25"/>
        </w:rPr>
        <w:t xml:space="preserve"> відомостей </w:t>
      </w:r>
      <w:r w:rsidR="00B75CD8" w:rsidRPr="006D3B9D">
        <w:rPr>
          <w:sz w:val="25"/>
          <w:szCs w:val="25"/>
        </w:rPr>
        <w:t xml:space="preserve">з </w:t>
      </w:r>
      <w:r w:rsidR="00BE28B6" w:rsidRPr="006D3B9D">
        <w:rPr>
          <w:sz w:val="25"/>
          <w:szCs w:val="25"/>
        </w:rPr>
        <w:t>ДРРП</w:t>
      </w:r>
      <w:r w:rsidR="00AA4FC5" w:rsidRPr="006D3B9D">
        <w:rPr>
          <w:sz w:val="25"/>
          <w:szCs w:val="25"/>
        </w:rPr>
        <w:t xml:space="preserve"> </w:t>
      </w:r>
      <w:r w:rsidR="007C60D7" w:rsidRPr="006D3B9D">
        <w:rPr>
          <w:sz w:val="25"/>
          <w:szCs w:val="25"/>
        </w:rPr>
        <w:t>ця</w:t>
      </w:r>
      <w:r w:rsidR="00AA4FC5" w:rsidRPr="006D3B9D">
        <w:rPr>
          <w:sz w:val="25"/>
          <w:szCs w:val="25"/>
        </w:rPr>
        <w:t xml:space="preserve"> ділянка належить на праві власності</w:t>
      </w:r>
      <w:r w:rsidR="0020189E" w:rsidRPr="006D3B9D">
        <w:rPr>
          <w:sz w:val="25"/>
          <w:szCs w:val="25"/>
        </w:rPr>
        <w:t xml:space="preserve"> виключно</w:t>
      </w:r>
      <w:r w:rsidR="00AA4FC5" w:rsidRPr="006D3B9D">
        <w:rPr>
          <w:sz w:val="25"/>
          <w:szCs w:val="25"/>
        </w:rPr>
        <w:t xml:space="preserve"> чоловіку</w:t>
      </w:r>
      <w:r w:rsidR="0020189E" w:rsidRPr="006D3B9D">
        <w:rPr>
          <w:sz w:val="25"/>
          <w:szCs w:val="25"/>
        </w:rPr>
        <w:t xml:space="preserve"> кандидатки</w:t>
      </w:r>
      <w:r w:rsidR="00AA4FC5" w:rsidRPr="006D3B9D">
        <w:rPr>
          <w:sz w:val="25"/>
          <w:szCs w:val="25"/>
        </w:rPr>
        <w:t xml:space="preserve"> (отримав у спадок)</w:t>
      </w:r>
      <w:r w:rsidR="00BE28B6" w:rsidRPr="006D3B9D">
        <w:rPr>
          <w:sz w:val="25"/>
          <w:szCs w:val="25"/>
        </w:rPr>
        <w:t>.</w:t>
      </w:r>
    </w:p>
    <w:p w14:paraId="569620D2" w14:textId="0657E339" w:rsidR="00AA4FC5" w:rsidRPr="006D3B9D" w:rsidRDefault="00B75CD8" w:rsidP="008C6B6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w:t>
      </w:r>
      <w:r w:rsidR="00AA4FC5" w:rsidRPr="006D3B9D">
        <w:rPr>
          <w:sz w:val="25"/>
          <w:szCs w:val="25"/>
        </w:rPr>
        <w:t>декларації за 2022 р</w:t>
      </w:r>
      <w:r w:rsidRPr="006D3B9D">
        <w:rPr>
          <w:sz w:val="25"/>
          <w:szCs w:val="25"/>
        </w:rPr>
        <w:t>ік</w:t>
      </w:r>
      <w:r w:rsidR="00AA4FC5" w:rsidRPr="006D3B9D">
        <w:rPr>
          <w:sz w:val="25"/>
          <w:szCs w:val="25"/>
        </w:rPr>
        <w:t xml:space="preserve"> </w:t>
      </w:r>
      <w:r w:rsidR="00473C7E" w:rsidRPr="006D3B9D">
        <w:rPr>
          <w:sz w:val="25"/>
          <w:szCs w:val="25"/>
        </w:rPr>
        <w:t>кандидат</w:t>
      </w:r>
      <w:r w:rsidR="00AA4FC5" w:rsidRPr="006D3B9D">
        <w:rPr>
          <w:sz w:val="25"/>
          <w:szCs w:val="25"/>
        </w:rPr>
        <w:t xml:space="preserve"> декларує офісні приміщення загальною площею 18,1 </w:t>
      </w:r>
      <w:proofErr w:type="spellStart"/>
      <w:r w:rsidR="00AA4FC5" w:rsidRPr="006D3B9D">
        <w:rPr>
          <w:sz w:val="25"/>
          <w:szCs w:val="25"/>
        </w:rPr>
        <w:t>кв.м</w:t>
      </w:r>
      <w:proofErr w:type="spellEnd"/>
      <w:r w:rsidR="00AA4FC5" w:rsidRPr="006D3B9D">
        <w:rPr>
          <w:sz w:val="25"/>
          <w:szCs w:val="25"/>
        </w:rPr>
        <w:t xml:space="preserve"> та 3,7 </w:t>
      </w:r>
      <w:proofErr w:type="spellStart"/>
      <w:r w:rsidR="00AA4FC5" w:rsidRPr="006D3B9D">
        <w:rPr>
          <w:sz w:val="25"/>
          <w:szCs w:val="25"/>
        </w:rPr>
        <w:t>кв.м</w:t>
      </w:r>
      <w:proofErr w:type="spellEnd"/>
      <w:r w:rsidR="00AA4FC5" w:rsidRPr="006D3B9D">
        <w:rPr>
          <w:sz w:val="25"/>
          <w:szCs w:val="25"/>
        </w:rPr>
        <w:t xml:space="preserve">, </w:t>
      </w:r>
      <w:r w:rsidRPr="006D3B9D">
        <w:rPr>
          <w:sz w:val="25"/>
          <w:szCs w:val="25"/>
        </w:rPr>
        <w:t>розташовані</w:t>
      </w:r>
      <w:r w:rsidR="00AA4FC5" w:rsidRPr="006D3B9D">
        <w:rPr>
          <w:sz w:val="25"/>
          <w:szCs w:val="25"/>
        </w:rPr>
        <w:t xml:space="preserve"> </w:t>
      </w:r>
      <w:r w:rsidR="00AB14EE">
        <w:rPr>
          <w:sz w:val="25"/>
          <w:szCs w:val="25"/>
        </w:rPr>
        <w:t>АДРЕСА_1</w:t>
      </w:r>
      <w:r w:rsidR="00AA4FC5" w:rsidRPr="006D3B9D">
        <w:rPr>
          <w:sz w:val="25"/>
          <w:szCs w:val="25"/>
        </w:rPr>
        <w:t xml:space="preserve"> у м. Яготин Київськ</w:t>
      </w:r>
      <w:r w:rsidR="0020189E" w:rsidRPr="006D3B9D">
        <w:rPr>
          <w:sz w:val="25"/>
          <w:szCs w:val="25"/>
        </w:rPr>
        <w:t>ої</w:t>
      </w:r>
      <w:r w:rsidRPr="006D3B9D">
        <w:rPr>
          <w:sz w:val="25"/>
          <w:szCs w:val="25"/>
        </w:rPr>
        <w:t> </w:t>
      </w:r>
      <w:r w:rsidR="00AA4FC5" w:rsidRPr="006D3B9D">
        <w:rPr>
          <w:sz w:val="25"/>
          <w:szCs w:val="25"/>
        </w:rPr>
        <w:t>обл</w:t>
      </w:r>
      <w:r w:rsidRPr="006D3B9D">
        <w:rPr>
          <w:sz w:val="25"/>
          <w:szCs w:val="25"/>
        </w:rPr>
        <w:t>.</w:t>
      </w:r>
      <w:r w:rsidR="00AA4FC5" w:rsidRPr="006D3B9D">
        <w:rPr>
          <w:sz w:val="25"/>
          <w:szCs w:val="25"/>
        </w:rPr>
        <w:t xml:space="preserve"> (дата</w:t>
      </w:r>
      <w:r w:rsidR="00AB14EE">
        <w:rPr>
          <w:sz w:val="25"/>
          <w:szCs w:val="25"/>
        </w:rPr>
        <w:t> </w:t>
      </w:r>
      <w:r w:rsidR="00AA4FC5" w:rsidRPr="006D3B9D">
        <w:rPr>
          <w:sz w:val="25"/>
          <w:szCs w:val="25"/>
        </w:rPr>
        <w:t xml:space="preserve">набуття </w:t>
      </w:r>
      <w:r w:rsidRPr="006D3B9D">
        <w:rPr>
          <w:sz w:val="25"/>
          <w:szCs w:val="25"/>
        </w:rPr>
        <w:t xml:space="preserve">‒ </w:t>
      </w:r>
      <w:r w:rsidR="00AA4FC5" w:rsidRPr="006D3B9D">
        <w:rPr>
          <w:sz w:val="25"/>
          <w:szCs w:val="25"/>
        </w:rPr>
        <w:t>28</w:t>
      </w:r>
      <w:r w:rsidR="00E95521" w:rsidRPr="006D3B9D">
        <w:rPr>
          <w:sz w:val="25"/>
          <w:szCs w:val="25"/>
        </w:rPr>
        <w:t xml:space="preserve"> лютого </w:t>
      </w:r>
      <w:r w:rsidR="00AA4FC5" w:rsidRPr="006D3B9D">
        <w:rPr>
          <w:sz w:val="25"/>
          <w:szCs w:val="25"/>
        </w:rPr>
        <w:t>2013</w:t>
      </w:r>
      <w:r w:rsidR="00E95521" w:rsidRPr="006D3B9D">
        <w:rPr>
          <w:sz w:val="25"/>
          <w:szCs w:val="25"/>
        </w:rPr>
        <w:t xml:space="preserve"> року</w:t>
      </w:r>
      <w:r w:rsidR="00AA4FC5" w:rsidRPr="006D3B9D">
        <w:rPr>
          <w:sz w:val="25"/>
          <w:szCs w:val="25"/>
        </w:rPr>
        <w:t xml:space="preserve">) та є спільною сумісною власністю </w:t>
      </w:r>
      <w:r w:rsidR="00473C7E" w:rsidRPr="006D3B9D">
        <w:rPr>
          <w:sz w:val="25"/>
          <w:szCs w:val="25"/>
        </w:rPr>
        <w:t xml:space="preserve">кандидата </w:t>
      </w:r>
      <w:r w:rsidR="00AA4FC5" w:rsidRPr="006D3B9D">
        <w:rPr>
          <w:sz w:val="25"/>
          <w:szCs w:val="25"/>
        </w:rPr>
        <w:t>з чоловіком</w:t>
      </w:r>
      <w:r w:rsidR="00E95521" w:rsidRPr="006D3B9D">
        <w:rPr>
          <w:sz w:val="25"/>
          <w:szCs w:val="25"/>
        </w:rPr>
        <w:t>.</w:t>
      </w:r>
      <w:r w:rsidR="00AA4FC5" w:rsidRPr="006D3B9D">
        <w:rPr>
          <w:sz w:val="25"/>
          <w:szCs w:val="25"/>
        </w:rPr>
        <w:t xml:space="preserve"> </w:t>
      </w:r>
      <w:r w:rsidRPr="006D3B9D">
        <w:rPr>
          <w:sz w:val="25"/>
          <w:szCs w:val="25"/>
        </w:rPr>
        <w:t>отже</w:t>
      </w:r>
      <w:r w:rsidR="00E95521" w:rsidRPr="006D3B9D">
        <w:rPr>
          <w:sz w:val="25"/>
          <w:szCs w:val="25"/>
        </w:rPr>
        <w:t>,</w:t>
      </w:r>
      <w:r w:rsidR="00AA4FC5" w:rsidRPr="006D3B9D">
        <w:rPr>
          <w:sz w:val="25"/>
          <w:szCs w:val="25"/>
        </w:rPr>
        <w:t xml:space="preserve"> відповідно до відомостей з ДРРП ці нежитлові приміщення </w:t>
      </w:r>
      <w:r w:rsidRPr="006D3B9D">
        <w:rPr>
          <w:sz w:val="25"/>
          <w:szCs w:val="25"/>
        </w:rPr>
        <w:t xml:space="preserve">згідно з </w:t>
      </w:r>
      <w:r w:rsidR="00AA4FC5" w:rsidRPr="006D3B9D">
        <w:rPr>
          <w:sz w:val="25"/>
          <w:szCs w:val="25"/>
        </w:rPr>
        <w:t xml:space="preserve"> договор</w:t>
      </w:r>
      <w:r w:rsidRPr="006D3B9D">
        <w:rPr>
          <w:sz w:val="25"/>
          <w:szCs w:val="25"/>
        </w:rPr>
        <w:t>ами</w:t>
      </w:r>
      <w:r w:rsidR="00AA4FC5" w:rsidRPr="006D3B9D">
        <w:rPr>
          <w:sz w:val="25"/>
          <w:szCs w:val="25"/>
        </w:rPr>
        <w:t xml:space="preserve"> купівлі-продажу нежитлових приміщень від 28 лютого 2013 року належ</w:t>
      </w:r>
      <w:r w:rsidRPr="006D3B9D">
        <w:rPr>
          <w:sz w:val="25"/>
          <w:szCs w:val="25"/>
        </w:rPr>
        <w:t>а</w:t>
      </w:r>
      <w:r w:rsidR="00AA4FC5" w:rsidRPr="006D3B9D">
        <w:rPr>
          <w:sz w:val="25"/>
          <w:szCs w:val="25"/>
        </w:rPr>
        <w:t xml:space="preserve">ть на праві власності </w:t>
      </w:r>
      <w:r w:rsidR="0020189E" w:rsidRPr="006D3B9D">
        <w:rPr>
          <w:sz w:val="25"/>
          <w:szCs w:val="25"/>
        </w:rPr>
        <w:t xml:space="preserve">виключно </w:t>
      </w:r>
      <w:r w:rsidR="00AA4FC5" w:rsidRPr="006D3B9D">
        <w:rPr>
          <w:sz w:val="25"/>
          <w:szCs w:val="25"/>
        </w:rPr>
        <w:t>чоловіку</w:t>
      </w:r>
      <w:r w:rsidR="00473C7E" w:rsidRPr="006D3B9D">
        <w:rPr>
          <w:sz w:val="25"/>
          <w:szCs w:val="25"/>
        </w:rPr>
        <w:t xml:space="preserve"> кандидатки</w:t>
      </w:r>
      <w:r w:rsidR="00AA4FC5" w:rsidRPr="006D3B9D">
        <w:rPr>
          <w:sz w:val="25"/>
          <w:szCs w:val="25"/>
        </w:rPr>
        <w:t>.</w:t>
      </w:r>
    </w:p>
    <w:p w14:paraId="42787F0A" w14:textId="449E16F2" w:rsidR="0036085C" w:rsidRPr="006D3B9D" w:rsidRDefault="0036085C" w:rsidP="00D123D9">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Під час співбесіди кандидат</w:t>
      </w:r>
      <w:r w:rsidR="00E95521" w:rsidRPr="006D3B9D">
        <w:rPr>
          <w:sz w:val="25"/>
          <w:szCs w:val="25"/>
        </w:rPr>
        <w:t>ка</w:t>
      </w:r>
      <w:r w:rsidRPr="006D3B9D">
        <w:rPr>
          <w:sz w:val="25"/>
          <w:szCs w:val="25"/>
        </w:rPr>
        <w:t xml:space="preserve"> визна</w:t>
      </w:r>
      <w:r w:rsidR="00E95521" w:rsidRPr="006D3B9D">
        <w:rPr>
          <w:sz w:val="25"/>
          <w:szCs w:val="25"/>
        </w:rPr>
        <w:t>ла</w:t>
      </w:r>
      <w:r w:rsidRPr="006D3B9D">
        <w:rPr>
          <w:sz w:val="25"/>
          <w:szCs w:val="25"/>
        </w:rPr>
        <w:t xml:space="preserve"> допущені н</w:t>
      </w:r>
      <w:r w:rsidR="00E95521" w:rsidRPr="006D3B9D">
        <w:rPr>
          <w:sz w:val="25"/>
          <w:szCs w:val="25"/>
        </w:rPr>
        <w:t>ею</w:t>
      </w:r>
      <w:r w:rsidRPr="006D3B9D">
        <w:rPr>
          <w:sz w:val="25"/>
          <w:szCs w:val="25"/>
        </w:rPr>
        <w:t xml:space="preserve"> помилки під час декларування</w:t>
      </w:r>
      <w:r w:rsidR="00D123D9" w:rsidRPr="006D3B9D">
        <w:rPr>
          <w:sz w:val="25"/>
          <w:szCs w:val="25"/>
        </w:rPr>
        <w:t>.</w:t>
      </w:r>
    </w:p>
    <w:p w14:paraId="6046CB9C" w14:textId="77777777" w:rsidR="0036085C" w:rsidRPr="006D3B9D" w:rsidRDefault="00EF202D" w:rsidP="0036085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6C67DA41" w14:textId="2EFE387C" w:rsidR="0036085C" w:rsidRPr="006D3B9D" w:rsidRDefault="00EF202D" w:rsidP="0036085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Національне агентство виснувало, що відсутність попередньо встановлених фактів порушення антикорупційного законодавства з боку Національного агентства не є перешкодою іншим органам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w:t>
      </w:r>
      <w:r w:rsidR="002F15B7" w:rsidRPr="006D3B9D">
        <w:rPr>
          <w:sz w:val="25"/>
          <w:szCs w:val="25"/>
        </w:rPr>
        <w:t xml:space="preserve"> Національного </w:t>
      </w:r>
      <w:proofErr w:type="spellStart"/>
      <w:r w:rsidR="002F15B7" w:rsidRPr="006D3B9D">
        <w:rPr>
          <w:sz w:val="25"/>
          <w:szCs w:val="25"/>
        </w:rPr>
        <w:t>агенства</w:t>
      </w:r>
      <w:proofErr w:type="spellEnd"/>
      <w:r w:rsidRPr="006D3B9D">
        <w:rPr>
          <w:sz w:val="25"/>
          <w:szCs w:val="25"/>
        </w:rPr>
        <w:t xml:space="preserve"> № 9</w:t>
      </w:r>
      <w:r w:rsidR="002F15B7" w:rsidRPr="006D3B9D">
        <w:rPr>
          <w:sz w:val="25"/>
          <w:szCs w:val="25"/>
        </w:rPr>
        <w:t xml:space="preserve"> щодо розмежування компетенції Національного агентства та інших суб’єктів у частині перевірки декларацій, поданих суддями та прокурорами </w:t>
      </w:r>
      <w:r w:rsidRPr="006D3B9D">
        <w:rPr>
          <w:sz w:val="25"/>
          <w:szCs w:val="25"/>
        </w:rPr>
        <w:t xml:space="preserve">від </w:t>
      </w:r>
      <w:r w:rsidR="002F15B7" w:rsidRPr="006D3B9D">
        <w:rPr>
          <w:sz w:val="25"/>
          <w:szCs w:val="25"/>
        </w:rPr>
        <w:t>0</w:t>
      </w:r>
      <w:r w:rsidRPr="006D3B9D">
        <w:rPr>
          <w:sz w:val="25"/>
          <w:szCs w:val="25"/>
        </w:rPr>
        <w:t>1 жовтня 2021</w:t>
      </w:r>
      <w:r w:rsidR="00B75CD8" w:rsidRPr="006D3B9D">
        <w:rPr>
          <w:sz w:val="25"/>
          <w:szCs w:val="25"/>
        </w:rPr>
        <w:t> </w:t>
      </w:r>
      <w:r w:rsidRPr="006D3B9D">
        <w:rPr>
          <w:sz w:val="25"/>
          <w:szCs w:val="25"/>
        </w:rPr>
        <w:t>року</w:t>
      </w:r>
      <w:r w:rsidR="00B75CD8" w:rsidRPr="006D3B9D">
        <w:rPr>
          <w:sz w:val="25"/>
          <w:szCs w:val="25"/>
        </w:rPr>
        <w:t>)</w:t>
      </w:r>
      <w:r w:rsidRPr="006D3B9D">
        <w:rPr>
          <w:sz w:val="25"/>
          <w:szCs w:val="25"/>
        </w:rPr>
        <w:t>.</w:t>
      </w:r>
    </w:p>
    <w:p w14:paraId="674AFDF2" w14:textId="568B2B0E" w:rsidR="0036085C" w:rsidRPr="006D3B9D" w:rsidRDefault="00EF202D" w:rsidP="0036085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Водночас Національне агентство окремо наголошує, що висновки, у яких не зафіксовано факт</w:t>
      </w:r>
      <w:r w:rsidR="002F15B7" w:rsidRPr="006D3B9D">
        <w:rPr>
          <w:sz w:val="25"/>
          <w:szCs w:val="25"/>
        </w:rPr>
        <w:t>у</w:t>
      </w:r>
      <w:r w:rsidRPr="006D3B9D">
        <w:rPr>
          <w:sz w:val="25"/>
          <w:szCs w:val="25"/>
        </w:rPr>
        <w:t xml:space="preserve"> порушення особою вимог, заборон чи обмежень, встановлених законом, можуть враховуватись суб’єктами, які проводять відповідні процедури, за умови, якщо </w:t>
      </w:r>
      <w:r w:rsidR="00695FF8" w:rsidRPr="006D3B9D">
        <w:rPr>
          <w:sz w:val="25"/>
          <w:szCs w:val="25"/>
        </w:rPr>
        <w:t>в</w:t>
      </w:r>
      <w:r w:rsidRPr="006D3B9D">
        <w:rPr>
          <w:sz w:val="25"/>
          <w:szCs w:val="25"/>
        </w:rPr>
        <w:t xml:space="preserve">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54D885A9" w14:textId="0D0A1AAC" w:rsidR="0036085C" w:rsidRPr="006D3B9D" w:rsidRDefault="00EF202D" w:rsidP="0036085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Вказана позиція також підтверджується рішенням Великої Палати Верховного Суду від 27 лютого 2025 року у справі № 990/99/24 щодо оскарження рішення ВККСУ. Верховний Суд виснував, щ </w:t>
      </w:r>
      <w:r w:rsidR="00695FF8" w:rsidRPr="006D3B9D">
        <w:rPr>
          <w:sz w:val="25"/>
          <w:szCs w:val="25"/>
        </w:rPr>
        <w:t xml:space="preserve"> Комісія в</w:t>
      </w:r>
      <w:r w:rsidRPr="006D3B9D">
        <w:rPr>
          <w:sz w:val="25"/>
          <w:szCs w:val="25"/>
        </w:rPr>
        <w:t xml:space="preserve"> межах процедури оцінювання кандидата на посаду судді не </w:t>
      </w:r>
      <w:r w:rsidR="00695FF8" w:rsidRPr="006D3B9D">
        <w:rPr>
          <w:sz w:val="25"/>
          <w:szCs w:val="25"/>
        </w:rPr>
        <w:t>здійснює</w:t>
      </w:r>
      <w:r w:rsidRPr="006D3B9D">
        <w:rPr>
          <w:sz w:val="25"/>
          <w:szCs w:val="25"/>
        </w:rPr>
        <w:t xml:space="preserve"> повноваження антикорупційного чи правоохоронного органу, не переві</w:t>
      </w:r>
      <w:r w:rsidR="00695FF8" w:rsidRPr="006D3B9D">
        <w:rPr>
          <w:sz w:val="25"/>
          <w:szCs w:val="25"/>
        </w:rPr>
        <w:t>ряє</w:t>
      </w:r>
      <w:r w:rsidRPr="006D3B9D">
        <w:rPr>
          <w:sz w:val="25"/>
          <w:szCs w:val="25"/>
        </w:rPr>
        <w:t xml:space="preserve"> висновків цих органів, однак надає їм оцінку в контексті </w:t>
      </w:r>
      <w:r w:rsidR="00695FF8" w:rsidRPr="006D3B9D">
        <w:rPr>
          <w:sz w:val="25"/>
          <w:szCs w:val="25"/>
        </w:rPr>
        <w:t>реалізації</w:t>
      </w:r>
      <w:r w:rsidRPr="006D3B9D">
        <w:rPr>
          <w:sz w:val="25"/>
          <w:szCs w:val="25"/>
        </w:rPr>
        <w:t xml:space="preserve">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w:t>
      </w:r>
      <w:r w:rsidR="00695FF8" w:rsidRPr="006D3B9D">
        <w:rPr>
          <w:sz w:val="25"/>
          <w:szCs w:val="25"/>
        </w:rPr>
        <w:t>стосовно</w:t>
      </w:r>
      <w:r w:rsidRPr="006D3B9D">
        <w:rPr>
          <w:sz w:val="25"/>
          <w:szCs w:val="25"/>
        </w:rPr>
        <w:t xml:space="preserve"> такої інформації.</w:t>
      </w:r>
    </w:p>
    <w:p w14:paraId="6D1A8484" w14:textId="57ADF10E" w:rsidR="0036085C" w:rsidRPr="006D3B9D" w:rsidRDefault="00EF202D" w:rsidP="0036085C">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Незважаючи на те, що окремі виявлені помилки не оцінюються Комісією як істотні чи суттєві, їх сукупність вказує на недостатню уважність та скрупульозність при заповненні офіційних документів</w:t>
      </w:r>
      <w:r w:rsidR="009959D2" w:rsidRPr="006D3B9D">
        <w:rPr>
          <w:sz w:val="25"/>
          <w:szCs w:val="25"/>
        </w:rPr>
        <w:t>,</w:t>
      </w:r>
    </w:p>
    <w:p w14:paraId="73EB816E" w14:textId="50F25531" w:rsidR="006B5024" w:rsidRPr="006D3B9D" w:rsidRDefault="006B5024" w:rsidP="006B502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Під час закритого обговорення Комісі</w:t>
      </w:r>
      <w:r w:rsidR="00695FF8" w:rsidRPr="006D3B9D">
        <w:rPr>
          <w:sz w:val="25"/>
          <w:szCs w:val="25"/>
        </w:rPr>
        <w:t>я</w:t>
      </w:r>
      <w:r w:rsidRPr="006D3B9D">
        <w:rPr>
          <w:sz w:val="25"/>
          <w:szCs w:val="25"/>
        </w:rPr>
        <w:t xml:space="preserve"> у складі колегії вирішила, що зазначені обставини становлять сукупність несуттєвих обставин, за які може бути знижено бали за показником «сумлінність» за критерієм професійної етики та доброчесності.</w:t>
      </w:r>
    </w:p>
    <w:p w14:paraId="4A77ACF5" w14:textId="54E8E7E4" w:rsidR="0068253D" w:rsidRPr="006D3B9D" w:rsidRDefault="00695FF8" w:rsidP="0068253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w:t>
      </w:r>
      <w:r w:rsidR="0068253D" w:rsidRPr="006D3B9D">
        <w:rPr>
          <w:sz w:val="25"/>
          <w:szCs w:val="25"/>
        </w:rPr>
        <w:t xml:space="preserve">андидат </w:t>
      </w:r>
      <w:proofErr w:type="spellStart"/>
      <w:r w:rsidR="0068253D" w:rsidRPr="006D3B9D">
        <w:rPr>
          <w:sz w:val="25"/>
          <w:szCs w:val="25"/>
        </w:rPr>
        <w:t>Косогор</w:t>
      </w:r>
      <w:proofErr w:type="spellEnd"/>
      <w:r w:rsidR="0068253D" w:rsidRPr="006D3B9D">
        <w:rPr>
          <w:sz w:val="25"/>
          <w:szCs w:val="25"/>
        </w:rPr>
        <w:t xml:space="preserve"> О.М.</w:t>
      </w:r>
      <w:r w:rsidRPr="006D3B9D">
        <w:rPr>
          <w:sz w:val="25"/>
          <w:szCs w:val="25"/>
        </w:rPr>
        <w:t xml:space="preserve"> 05 та 06 серпня 2025 року</w:t>
      </w:r>
      <w:r w:rsidR="0068253D" w:rsidRPr="006D3B9D">
        <w:rPr>
          <w:sz w:val="25"/>
          <w:szCs w:val="25"/>
        </w:rPr>
        <w:t xml:space="preserve"> надіслала до Комісії </w:t>
      </w:r>
      <w:r w:rsidR="00642445" w:rsidRPr="006D3B9D">
        <w:rPr>
          <w:sz w:val="25"/>
          <w:szCs w:val="25"/>
        </w:rPr>
        <w:t xml:space="preserve">додаткові </w:t>
      </w:r>
      <w:r w:rsidR="0068253D" w:rsidRPr="006D3B9D">
        <w:rPr>
          <w:sz w:val="25"/>
          <w:szCs w:val="25"/>
        </w:rPr>
        <w:t>письмові пояснення щодо Висновку ГРД.</w:t>
      </w:r>
    </w:p>
    <w:p w14:paraId="47D68036" w14:textId="6F24B619" w:rsidR="0068253D" w:rsidRPr="006D3B9D" w:rsidRDefault="0068253D" w:rsidP="0068253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Надаючи оцінку доводам ГРД та поясненням кандидата, Комісія виходить із такого.</w:t>
      </w:r>
    </w:p>
    <w:p w14:paraId="07AF8451" w14:textId="46F77C96" w:rsidR="00DA4B00" w:rsidRPr="006D3B9D" w:rsidRDefault="0036085C" w:rsidP="00DA4B0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Стосовно </w:t>
      </w:r>
      <w:r w:rsidR="0068253D" w:rsidRPr="006D3B9D">
        <w:rPr>
          <w:sz w:val="25"/>
          <w:szCs w:val="25"/>
        </w:rPr>
        <w:t xml:space="preserve">обставин </w:t>
      </w:r>
      <w:r w:rsidR="00726102" w:rsidRPr="006D3B9D">
        <w:rPr>
          <w:sz w:val="25"/>
          <w:szCs w:val="25"/>
        </w:rPr>
        <w:t xml:space="preserve">придбання </w:t>
      </w:r>
      <w:r w:rsidR="0068253D" w:rsidRPr="006D3B9D">
        <w:rPr>
          <w:sz w:val="25"/>
          <w:szCs w:val="25"/>
        </w:rPr>
        <w:t xml:space="preserve">автомобілів марки </w:t>
      </w:r>
      <w:r w:rsidR="0068253D" w:rsidRPr="006D3B9D">
        <w:rPr>
          <w:color w:val="000000"/>
          <w:sz w:val="25"/>
          <w:szCs w:val="25"/>
          <w:lang w:eastAsia="uk-UA"/>
        </w:rPr>
        <w:t>«VOLKSWAGEN TIGUAN» 2018 року випуску, вартістю 377 746 грн та марки «FORD FUSION» 2018 року випуску, вартістю 120 538 грн</w:t>
      </w:r>
      <w:r w:rsidR="0068253D" w:rsidRPr="006D3B9D">
        <w:rPr>
          <w:sz w:val="25"/>
          <w:szCs w:val="25"/>
        </w:rPr>
        <w:t xml:space="preserve">, мотоцикла марки </w:t>
      </w:r>
      <w:r w:rsidR="0068253D" w:rsidRPr="006D3B9D">
        <w:rPr>
          <w:color w:val="000000"/>
          <w:sz w:val="25"/>
          <w:szCs w:val="25"/>
          <w:lang w:eastAsia="uk-UA"/>
        </w:rPr>
        <w:t xml:space="preserve">«BAJAJ DOMINA D 400» 2021 року випуску, вартістю 127 071 грн </w:t>
      </w:r>
      <w:r w:rsidR="00642445" w:rsidRPr="006D3B9D">
        <w:rPr>
          <w:color w:val="000000"/>
          <w:sz w:val="25"/>
          <w:szCs w:val="25"/>
          <w:lang w:eastAsia="uk-UA"/>
        </w:rPr>
        <w:t xml:space="preserve"> та джерел походження грошових коштів для їх придбання </w:t>
      </w:r>
      <w:r w:rsidR="0068253D" w:rsidRPr="006D3B9D">
        <w:rPr>
          <w:color w:val="000000"/>
          <w:sz w:val="25"/>
          <w:szCs w:val="25"/>
          <w:lang w:eastAsia="uk-UA"/>
        </w:rPr>
        <w:t>Комісія встановила таке.</w:t>
      </w:r>
    </w:p>
    <w:p w14:paraId="0AA05FD3" w14:textId="562068CD" w:rsidR="00DA4B00" w:rsidRPr="006D3B9D" w:rsidRDefault="00DA4B00" w:rsidP="00DA4B00">
      <w:pPr>
        <w:pStyle w:val="a9"/>
        <w:numPr>
          <w:ilvl w:val="0"/>
          <w:numId w:val="8"/>
        </w:numPr>
        <w:shd w:val="clear" w:color="auto" w:fill="FFFFFF"/>
        <w:tabs>
          <w:tab w:val="left" w:pos="426"/>
        </w:tabs>
        <w:spacing w:after="200" w:line="276" w:lineRule="auto"/>
        <w:ind w:left="0" w:firstLine="709"/>
        <w:jc w:val="both"/>
        <w:rPr>
          <w:sz w:val="25"/>
          <w:szCs w:val="25"/>
        </w:rPr>
      </w:pPr>
      <w:r w:rsidRPr="006D3B9D">
        <w:rPr>
          <w:color w:val="000000"/>
          <w:sz w:val="25"/>
          <w:szCs w:val="25"/>
          <w:lang w:eastAsia="uk-UA"/>
        </w:rPr>
        <w:t xml:space="preserve">У своїх </w:t>
      </w:r>
      <w:r w:rsidR="00642445" w:rsidRPr="006D3B9D">
        <w:rPr>
          <w:color w:val="000000"/>
          <w:sz w:val="25"/>
          <w:szCs w:val="25"/>
          <w:lang w:eastAsia="uk-UA"/>
        </w:rPr>
        <w:t>письмових</w:t>
      </w:r>
      <w:r w:rsidRPr="006D3B9D">
        <w:rPr>
          <w:color w:val="000000"/>
          <w:sz w:val="25"/>
          <w:szCs w:val="25"/>
          <w:lang w:eastAsia="uk-UA"/>
        </w:rPr>
        <w:t xml:space="preserve"> поясненнях кандидатка зазначила, що </w:t>
      </w:r>
      <w:r w:rsidRPr="006D3B9D">
        <w:rPr>
          <w:sz w:val="25"/>
          <w:szCs w:val="25"/>
        </w:rPr>
        <w:t xml:space="preserve">автомобіль марки </w:t>
      </w:r>
      <w:r w:rsidRPr="006D3B9D">
        <w:rPr>
          <w:color w:val="000000"/>
          <w:sz w:val="25"/>
          <w:szCs w:val="25"/>
          <w:lang w:eastAsia="uk-UA"/>
        </w:rPr>
        <w:t>«FORD FUSION»</w:t>
      </w:r>
      <w:r w:rsidRPr="006D3B9D">
        <w:rPr>
          <w:sz w:val="25"/>
          <w:szCs w:val="25"/>
        </w:rPr>
        <w:t xml:space="preserve">, </w:t>
      </w:r>
      <w:r w:rsidR="00AB14EE">
        <w:rPr>
          <w:sz w:val="25"/>
          <w:szCs w:val="25"/>
        </w:rPr>
        <w:t>НОМЕР_2</w:t>
      </w:r>
      <w:r w:rsidRPr="006D3B9D">
        <w:rPr>
          <w:sz w:val="25"/>
          <w:szCs w:val="25"/>
        </w:rPr>
        <w:t>, об’єм двигуна 2</w:t>
      </w:r>
      <w:r w:rsidR="00695FF8" w:rsidRPr="006D3B9D">
        <w:rPr>
          <w:sz w:val="25"/>
          <w:szCs w:val="25"/>
        </w:rPr>
        <w:t> </w:t>
      </w:r>
      <w:r w:rsidRPr="006D3B9D">
        <w:rPr>
          <w:sz w:val="25"/>
          <w:szCs w:val="25"/>
        </w:rPr>
        <w:t>488 см</w:t>
      </w:r>
      <w:r w:rsidRPr="006D3B9D">
        <w:rPr>
          <w:sz w:val="25"/>
          <w:szCs w:val="25"/>
          <w:vertAlign w:val="superscript"/>
        </w:rPr>
        <w:t>3</w:t>
      </w:r>
      <w:r w:rsidRPr="006D3B9D">
        <w:rPr>
          <w:sz w:val="25"/>
          <w:szCs w:val="25"/>
        </w:rPr>
        <w:t xml:space="preserve"> 2018 року випуску, державна реєстрація 29 квітня 2021 року</w:t>
      </w:r>
      <w:r w:rsidR="006105CA" w:rsidRPr="006D3B9D">
        <w:rPr>
          <w:sz w:val="25"/>
          <w:szCs w:val="25"/>
        </w:rPr>
        <w:t>,</w:t>
      </w:r>
      <w:r w:rsidRPr="006D3B9D">
        <w:rPr>
          <w:sz w:val="25"/>
          <w:szCs w:val="25"/>
        </w:rPr>
        <w:t xml:space="preserve"> вартістю 120</w:t>
      </w:r>
      <w:r w:rsidR="006105CA" w:rsidRPr="006D3B9D">
        <w:rPr>
          <w:sz w:val="25"/>
          <w:szCs w:val="25"/>
        </w:rPr>
        <w:t> </w:t>
      </w:r>
      <w:r w:rsidRPr="006D3B9D">
        <w:rPr>
          <w:sz w:val="25"/>
          <w:szCs w:val="25"/>
        </w:rPr>
        <w:t>538 грн придбан</w:t>
      </w:r>
      <w:r w:rsidR="00695FF8" w:rsidRPr="006D3B9D">
        <w:rPr>
          <w:sz w:val="25"/>
          <w:szCs w:val="25"/>
        </w:rPr>
        <w:t>о</w:t>
      </w:r>
      <w:r w:rsidRPr="006D3B9D">
        <w:rPr>
          <w:sz w:val="25"/>
          <w:szCs w:val="25"/>
        </w:rPr>
        <w:t xml:space="preserve"> на аукціоні </w:t>
      </w:r>
      <w:r w:rsidR="00695FF8" w:rsidRPr="006D3B9D">
        <w:rPr>
          <w:sz w:val="25"/>
          <w:szCs w:val="25"/>
        </w:rPr>
        <w:t>в</w:t>
      </w:r>
      <w:r w:rsidRPr="006D3B9D">
        <w:rPr>
          <w:sz w:val="25"/>
          <w:szCs w:val="25"/>
        </w:rPr>
        <w:t xml:space="preserve"> США 19</w:t>
      </w:r>
      <w:r w:rsidR="00CF12DF">
        <w:rPr>
          <w:sz w:val="25"/>
          <w:szCs w:val="25"/>
        </w:rPr>
        <w:t> </w:t>
      </w:r>
      <w:bookmarkStart w:id="11" w:name="_GoBack"/>
      <w:bookmarkEnd w:id="11"/>
      <w:r w:rsidRPr="006D3B9D">
        <w:rPr>
          <w:sz w:val="25"/>
          <w:szCs w:val="25"/>
        </w:rPr>
        <w:t xml:space="preserve">червня 2020 року за ціною 3 350 </w:t>
      </w:r>
      <w:proofErr w:type="spellStart"/>
      <w:r w:rsidRPr="006D3B9D">
        <w:rPr>
          <w:sz w:val="25"/>
          <w:szCs w:val="25"/>
        </w:rPr>
        <w:t>дол</w:t>
      </w:r>
      <w:proofErr w:type="spellEnd"/>
      <w:r w:rsidRPr="006D3B9D">
        <w:rPr>
          <w:sz w:val="25"/>
          <w:szCs w:val="25"/>
        </w:rPr>
        <w:t>. США (https://bidfas.info/ford/fusioN5711223-ford-fusion-s-2018-white-251-4-vin-3fa6p0g7xjr218463.himl) у стані зі значними пошкодженнями та пробігом 76 898, 8 миль.</w:t>
      </w:r>
    </w:p>
    <w:p w14:paraId="3FEF500B" w14:textId="20A02E40" w:rsidR="00DA4B00" w:rsidRPr="006D3B9D" w:rsidRDefault="00DA4B00" w:rsidP="00DA4B0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Вартість автомобіля визначен</w:t>
      </w:r>
      <w:r w:rsidR="00695FF8" w:rsidRPr="006D3B9D">
        <w:rPr>
          <w:sz w:val="25"/>
          <w:szCs w:val="25"/>
        </w:rPr>
        <w:t>о</w:t>
      </w:r>
      <w:r w:rsidRPr="006D3B9D">
        <w:rPr>
          <w:sz w:val="25"/>
          <w:szCs w:val="25"/>
        </w:rPr>
        <w:t xml:space="preserve"> у вантажно-митній декларації № UA500030/2020/509549 у розмірі 120 538,05 грн. </w:t>
      </w:r>
      <w:r w:rsidR="00695FF8" w:rsidRPr="006D3B9D">
        <w:rPr>
          <w:sz w:val="25"/>
          <w:szCs w:val="25"/>
        </w:rPr>
        <w:t>У</w:t>
      </w:r>
      <w:r w:rsidRPr="006D3B9D">
        <w:rPr>
          <w:sz w:val="25"/>
          <w:szCs w:val="25"/>
        </w:rPr>
        <w:t xml:space="preserve">казаний автомобіль перебував </w:t>
      </w:r>
      <w:r w:rsidR="00695FF8" w:rsidRPr="006D3B9D">
        <w:rPr>
          <w:sz w:val="25"/>
          <w:szCs w:val="25"/>
        </w:rPr>
        <w:t>на</w:t>
      </w:r>
      <w:r w:rsidRPr="006D3B9D">
        <w:rPr>
          <w:sz w:val="25"/>
          <w:szCs w:val="25"/>
        </w:rPr>
        <w:t xml:space="preserve"> ремонті, фактичне користування — з квітня 2021 року.</w:t>
      </w:r>
    </w:p>
    <w:p w14:paraId="56015711" w14:textId="3159538D" w:rsidR="00DA4B00" w:rsidRPr="006D3B9D" w:rsidRDefault="00DA4B00" w:rsidP="00DA4B0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Датою набуття права власності на транспортний засіб, придбаний за кордоном, є дата здійснення оплати за такий транспортний засіб, проте </w:t>
      </w:r>
      <w:r w:rsidR="00695FF8" w:rsidRPr="006D3B9D">
        <w:rPr>
          <w:sz w:val="25"/>
          <w:szCs w:val="25"/>
        </w:rPr>
        <w:t>в</w:t>
      </w:r>
      <w:r w:rsidRPr="006D3B9D">
        <w:rPr>
          <w:sz w:val="25"/>
          <w:szCs w:val="25"/>
        </w:rPr>
        <w:t xml:space="preserve"> кандидатки не </w:t>
      </w:r>
      <w:r w:rsidR="00AB14EE" w:rsidRPr="006D3B9D">
        <w:rPr>
          <w:sz w:val="25"/>
          <w:szCs w:val="25"/>
        </w:rPr>
        <w:t>зберіглось</w:t>
      </w:r>
      <w:r w:rsidRPr="006D3B9D">
        <w:rPr>
          <w:sz w:val="25"/>
          <w:szCs w:val="25"/>
        </w:rPr>
        <w:t xml:space="preserve"> письмов</w:t>
      </w:r>
      <w:r w:rsidR="00695FF8" w:rsidRPr="006D3B9D">
        <w:rPr>
          <w:sz w:val="25"/>
          <w:szCs w:val="25"/>
        </w:rPr>
        <w:t>их</w:t>
      </w:r>
      <w:r w:rsidRPr="006D3B9D">
        <w:rPr>
          <w:sz w:val="25"/>
          <w:szCs w:val="25"/>
        </w:rPr>
        <w:t xml:space="preserve"> доказ</w:t>
      </w:r>
      <w:r w:rsidR="00695FF8" w:rsidRPr="006D3B9D">
        <w:rPr>
          <w:sz w:val="25"/>
          <w:szCs w:val="25"/>
        </w:rPr>
        <w:t>ів</w:t>
      </w:r>
      <w:r w:rsidRPr="006D3B9D">
        <w:rPr>
          <w:sz w:val="25"/>
          <w:szCs w:val="25"/>
        </w:rPr>
        <w:t>, що підтверджують здійснення вказаного платежу</w:t>
      </w:r>
      <w:r w:rsidR="00695FF8" w:rsidRPr="006D3B9D">
        <w:rPr>
          <w:sz w:val="25"/>
          <w:szCs w:val="25"/>
        </w:rPr>
        <w:t>,</w:t>
      </w:r>
      <w:r w:rsidRPr="006D3B9D">
        <w:rPr>
          <w:sz w:val="25"/>
          <w:szCs w:val="25"/>
        </w:rPr>
        <w:t xml:space="preserve"> а тому з метою належного документального підтвердження кандидатка зазначила як дату набуття права власності на транспортний засіб дату його державної реєстрацій на території України.</w:t>
      </w:r>
    </w:p>
    <w:p w14:paraId="6D815412" w14:textId="5ED9A8F1" w:rsidR="00DA4B00" w:rsidRPr="006D3B9D" w:rsidRDefault="00DA4B00" w:rsidP="00DA4B0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Фінансові витрати сім’ї кандидатки для придбання автомобіля марки «FORD FUSION» 2018 року випуску здійснен</w:t>
      </w:r>
      <w:r w:rsidR="00A756F3" w:rsidRPr="006D3B9D">
        <w:rPr>
          <w:sz w:val="25"/>
          <w:szCs w:val="25"/>
        </w:rPr>
        <w:t>о</w:t>
      </w:r>
      <w:r w:rsidRPr="006D3B9D">
        <w:rPr>
          <w:sz w:val="25"/>
          <w:szCs w:val="25"/>
        </w:rPr>
        <w:t xml:space="preserve"> у 2020 році </w:t>
      </w:r>
      <w:r w:rsidR="006105CA" w:rsidRPr="006D3B9D">
        <w:rPr>
          <w:sz w:val="25"/>
          <w:szCs w:val="25"/>
        </w:rPr>
        <w:t>та</w:t>
      </w:r>
      <w:r w:rsidRPr="006D3B9D">
        <w:rPr>
          <w:sz w:val="25"/>
          <w:szCs w:val="25"/>
        </w:rPr>
        <w:t xml:space="preserve"> складал</w:t>
      </w:r>
      <w:r w:rsidR="00A756F3" w:rsidRPr="006D3B9D">
        <w:rPr>
          <w:sz w:val="25"/>
          <w:szCs w:val="25"/>
        </w:rPr>
        <w:t>ись</w:t>
      </w:r>
      <w:r w:rsidRPr="006D3B9D">
        <w:rPr>
          <w:sz w:val="25"/>
          <w:szCs w:val="25"/>
        </w:rPr>
        <w:t xml:space="preserve"> </w:t>
      </w:r>
      <w:r w:rsidR="00A756F3" w:rsidRPr="006D3B9D">
        <w:rPr>
          <w:sz w:val="25"/>
          <w:szCs w:val="25"/>
        </w:rPr>
        <w:t>зі</w:t>
      </w:r>
      <w:r w:rsidR="006105CA" w:rsidRPr="006D3B9D">
        <w:rPr>
          <w:sz w:val="25"/>
          <w:szCs w:val="25"/>
        </w:rPr>
        <w:t xml:space="preserve"> </w:t>
      </w:r>
      <w:r w:rsidRPr="006D3B9D">
        <w:rPr>
          <w:sz w:val="25"/>
          <w:szCs w:val="25"/>
        </w:rPr>
        <w:t>сплат</w:t>
      </w:r>
      <w:r w:rsidR="006105CA" w:rsidRPr="006D3B9D">
        <w:rPr>
          <w:sz w:val="25"/>
          <w:szCs w:val="25"/>
        </w:rPr>
        <w:t>и</w:t>
      </w:r>
      <w:r w:rsidRPr="006D3B9D">
        <w:rPr>
          <w:sz w:val="25"/>
          <w:szCs w:val="25"/>
        </w:rPr>
        <w:t xml:space="preserve"> його вартості (120</w:t>
      </w:r>
      <w:r w:rsidR="006105CA" w:rsidRPr="006D3B9D">
        <w:rPr>
          <w:sz w:val="25"/>
          <w:szCs w:val="25"/>
        </w:rPr>
        <w:t> </w:t>
      </w:r>
      <w:r w:rsidRPr="006D3B9D">
        <w:rPr>
          <w:sz w:val="25"/>
          <w:szCs w:val="25"/>
        </w:rPr>
        <w:t>538,05 грн, червень 2020</w:t>
      </w:r>
      <w:r w:rsidR="006105CA" w:rsidRPr="006D3B9D">
        <w:rPr>
          <w:sz w:val="25"/>
          <w:szCs w:val="25"/>
        </w:rPr>
        <w:t xml:space="preserve"> року</w:t>
      </w:r>
      <w:r w:rsidRPr="006D3B9D">
        <w:rPr>
          <w:sz w:val="25"/>
          <w:szCs w:val="25"/>
        </w:rPr>
        <w:t>) та митних платежів (44 326 грн, вересень 2020</w:t>
      </w:r>
      <w:r w:rsidR="006105CA" w:rsidRPr="006D3B9D">
        <w:rPr>
          <w:sz w:val="25"/>
          <w:szCs w:val="25"/>
        </w:rPr>
        <w:t xml:space="preserve"> року</w:t>
      </w:r>
      <w:r w:rsidRPr="006D3B9D">
        <w:rPr>
          <w:sz w:val="25"/>
          <w:szCs w:val="25"/>
        </w:rPr>
        <w:t xml:space="preserve">), </w:t>
      </w:r>
      <w:r w:rsidR="00A756F3" w:rsidRPr="006D3B9D">
        <w:rPr>
          <w:sz w:val="25"/>
          <w:szCs w:val="25"/>
        </w:rPr>
        <w:t>проте</w:t>
      </w:r>
      <w:r w:rsidRPr="006D3B9D">
        <w:rPr>
          <w:sz w:val="25"/>
          <w:szCs w:val="25"/>
        </w:rPr>
        <w:t xml:space="preserve"> автомобіль було передано його власнику у квітні 2021 року, коли </w:t>
      </w:r>
      <w:r w:rsidR="00A756F3" w:rsidRPr="006D3B9D">
        <w:rPr>
          <w:sz w:val="25"/>
          <w:szCs w:val="25"/>
        </w:rPr>
        <w:t>цей автомобіль було</w:t>
      </w:r>
      <w:r w:rsidRPr="006D3B9D">
        <w:rPr>
          <w:sz w:val="25"/>
          <w:szCs w:val="25"/>
        </w:rPr>
        <w:t xml:space="preserve"> зареєстрован</w:t>
      </w:r>
      <w:r w:rsidR="00A756F3" w:rsidRPr="006D3B9D">
        <w:rPr>
          <w:sz w:val="25"/>
          <w:szCs w:val="25"/>
        </w:rPr>
        <w:t>о</w:t>
      </w:r>
      <w:r w:rsidRPr="006D3B9D">
        <w:rPr>
          <w:sz w:val="25"/>
          <w:szCs w:val="25"/>
        </w:rPr>
        <w:t>.</w:t>
      </w:r>
    </w:p>
    <w:p w14:paraId="51A0CD76" w14:textId="6EE1C71C" w:rsidR="000D5CC0" w:rsidRPr="006D3B9D" w:rsidRDefault="00DA4B00" w:rsidP="000D5CC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Витрати для придбання вказаного транспортного засобу здійснен</w:t>
      </w:r>
      <w:r w:rsidR="00A756F3" w:rsidRPr="006D3B9D">
        <w:rPr>
          <w:sz w:val="25"/>
          <w:szCs w:val="25"/>
        </w:rPr>
        <w:t>о</w:t>
      </w:r>
      <w:r w:rsidRPr="006D3B9D">
        <w:rPr>
          <w:sz w:val="25"/>
          <w:szCs w:val="25"/>
        </w:rPr>
        <w:t xml:space="preserve"> за рахунок накопичень невитраченого грошового доходу за 2019 рік</w:t>
      </w:r>
      <w:r w:rsidR="006105CA" w:rsidRPr="006D3B9D">
        <w:rPr>
          <w:sz w:val="25"/>
          <w:szCs w:val="25"/>
        </w:rPr>
        <w:t xml:space="preserve"> у розмірі </w:t>
      </w:r>
      <w:r w:rsidRPr="006D3B9D">
        <w:rPr>
          <w:sz w:val="25"/>
          <w:szCs w:val="25"/>
        </w:rPr>
        <w:t>359</w:t>
      </w:r>
      <w:r w:rsidR="000D5CC0" w:rsidRPr="006D3B9D">
        <w:rPr>
          <w:sz w:val="25"/>
          <w:szCs w:val="25"/>
        </w:rPr>
        <w:t> </w:t>
      </w:r>
      <w:r w:rsidRPr="006D3B9D">
        <w:rPr>
          <w:sz w:val="25"/>
          <w:szCs w:val="25"/>
        </w:rPr>
        <w:t>721, 29</w:t>
      </w:r>
      <w:r w:rsidR="006105CA" w:rsidRPr="006D3B9D">
        <w:rPr>
          <w:sz w:val="25"/>
          <w:szCs w:val="25"/>
        </w:rPr>
        <w:t> </w:t>
      </w:r>
      <w:r w:rsidRPr="006D3B9D">
        <w:rPr>
          <w:sz w:val="25"/>
          <w:szCs w:val="25"/>
        </w:rPr>
        <w:t>грн</w:t>
      </w:r>
      <w:r w:rsidR="006105CA" w:rsidRPr="006D3B9D">
        <w:rPr>
          <w:sz w:val="25"/>
          <w:szCs w:val="25"/>
        </w:rPr>
        <w:t>,</w:t>
      </w:r>
      <w:r w:rsidRPr="006D3B9D">
        <w:rPr>
          <w:sz w:val="25"/>
          <w:szCs w:val="25"/>
        </w:rPr>
        <w:t xml:space="preserve"> як</w:t>
      </w:r>
      <w:r w:rsidR="006105CA" w:rsidRPr="006D3B9D">
        <w:rPr>
          <w:sz w:val="25"/>
          <w:szCs w:val="25"/>
        </w:rPr>
        <w:t>ий</w:t>
      </w:r>
      <w:r w:rsidRPr="006D3B9D">
        <w:rPr>
          <w:sz w:val="25"/>
          <w:szCs w:val="25"/>
        </w:rPr>
        <w:t xml:space="preserve"> дозволяв</w:t>
      </w:r>
      <w:r w:rsidR="000D5CC0" w:rsidRPr="006D3B9D">
        <w:rPr>
          <w:sz w:val="25"/>
          <w:szCs w:val="25"/>
        </w:rPr>
        <w:t xml:space="preserve"> </w:t>
      </w:r>
      <w:r w:rsidRPr="006D3B9D">
        <w:rPr>
          <w:sz w:val="25"/>
          <w:szCs w:val="25"/>
        </w:rPr>
        <w:t xml:space="preserve">забезпечити потреби </w:t>
      </w:r>
      <w:r w:rsidR="000D5CC0" w:rsidRPr="006D3B9D">
        <w:rPr>
          <w:sz w:val="25"/>
          <w:szCs w:val="25"/>
        </w:rPr>
        <w:t>сім’ї</w:t>
      </w:r>
      <w:r w:rsidRPr="006D3B9D">
        <w:rPr>
          <w:sz w:val="25"/>
          <w:szCs w:val="25"/>
        </w:rPr>
        <w:t xml:space="preserve"> </w:t>
      </w:r>
      <w:r w:rsidR="006105CA" w:rsidRPr="006D3B9D">
        <w:rPr>
          <w:sz w:val="25"/>
          <w:szCs w:val="25"/>
        </w:rPr>
        <w:t>та</w:t>
      </w:r>
      <w:r w:rsidRPr="006D3B9D">
        <w:rPr>
          <w:sz w:val="25"/>
          <w:szCs w:val="25"/>
        </w:rPr>
        <w:t xml:space="preserve"> здійснити </w:t>
      </w:r>
      <w:r w:rsidR="000D5CC0" w:rsidRPr="006D3B9D">
        <w:rPr>
          <w:sz w:val="25"/>
          <w:szCs w:val="25"/>
        </w:rPr>
        <w:t>заощадження</w:t>
      </w:r>
      <w:r w:rsidRPr="006D3B9D">
        <w:rPr>
          <w:sz w:val="25"/>
          <w:szCs w:val="25"/>
        </w:rPr>
        <w:t>, що були витрачені у 2020</w:t>
      </w:r>
      <w:r w:rsidR="003D60BD">
        <w:rPr>
          <w:sz w:val="25"/>
          <w:szCs w:val="25"/>
        </w:rPr>
        <w:t> </w:t>
      </w:r>
      <w:r w:rsidRPr="006D3B9D">
        <w:rPr>
          <w:sz w:val="25"/>
          <w:szCs w:val="25"/>
        </w:rPr>
        <w:t xml:space="preserve">році </w:t>
      </w:r>
      <w:r w:rsidR="000D5CC0" w:rsidRPr="006D3B9D">
        <w:rPr>
          <w:sz w:val="25"/>
          <w:szCs w:val="25"/>
        </w:rPr>
        <w:t>для</w:t>
      </w:r>
      <w:r w:rsidRPr="006D3B9D">
        <w:rPr>
          <w:sz w:val="25"/>
          <w:szCs w:val="25"/>
        </w:rPr>
        <w:t xml:space="preserve"> придбання</w:t>
      </w:r>
      <w:r w:rsidR="000D5CC0" w:rsidRPr="006D3B9D">
        <w:rPr>
          <w:sz w:val="25"/>
          <w:szCs w:val="25"/>
        </w:rPr>
        <w:t xml:space="preserve"> </w:t>
      </w:r>
      <w:r w:rsidRPr="006D3B9D">
        <w:rPr>
          <w:sz w:val="25"/>
          <w:szCs w:val="25"/>
        </w:rPr>
        <w:t>автомобіля</w:t>
      </w:r>
      <w:r w:rsidR="000D5CC0" w:rsidRPr="006D3B9D">
        <w:rPr>
          <w:sz w:val="25"/>
          <w:szCs w:val="25"/>
        </w:rPr>
        <w:t>.</w:t>
      </w:r>
    </w:p>
    <w:p w14:paraId="3BB0AF73" w14:textId="02B9AF8D" w:rsidR="000D5CC0" w:rsidRPr="006D3B9D" w:rsidRDefault="00DA4B00" w:rsidP="000D5CC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2019 році загальний дохід </w:t>
      </w:r>
      <w:r w:rsidR="006105CA" w:rsidRPr="006D3B9D">
        <w:rPr>
          <w:sz w:val="25"/>
          <w:szCs w:val="25"/>
        </w:rPr>
        <w:t xml:space="preserve">членів </w:t>
      </w:r>
      <w:r w:rsidR="000D5CC0" w:rsidRPr="006D3B9D">
        <w:rPr>
          <w:sz w:val="25"/>
          <w:szCs w:val="25"/>
        </w:rPr>
        <w:t>сім’ї</w:t>
      </w:r>
      <w:r w:rsidRPr="006D3B9D">
        <w:rPr>
          <w:sz w:val="25"/>
          <w:szCs w:val="25"/>
        </w:rPr>
        <w:t xml:space="preserve"> кандидатки с</w:t>
      </w:r>
      <w:r w:rsidR="000D5CC0" w:rsidRPr="006D3B9D">
        <w:rPr>
          <w:sz w:val="25"/>
          <w:szCs w:val="25"/>
        </w:rPr>
        <w:t>тановив</w:t>
      </w:r>
      <w:r w:rsidRPr="006D3B9D">
        <w:rPr>
          <w:sz w:val="25"/>
          <w:szCs w:val="25"/>
        </w:rPr>
        <w:t xml:space="preserve"> 383</w:t>
      </w:r>
      <w:r w:rsidR="000D5CC0" w:rsidRPr="006D3B9D">
        <w:rPr>
          <w:sz w:val="25"/>
          <w:szCs w:val="25"/>
        </w:rPr>
        <w:t> </w:t>
      </w:r>
      <w:r w:rsidRPr="006D3B9D">
        <w:rPr>
          <w:sz w:val="25"/>
          <w:szCs w:val="25"/>
        </w:rPr>
        <w:t>113,46</w:t>
      </w:r>
      <w:r w:rsidR="000D5CC0" w:rsidRPr="006D3B9D">
        <w:rPr>
          <w:sz w:val="25"/>
          <w:szCs w:val="25"/>
        </w:rPr>
        <w:t> </w:t>
      </w:r>
      <w:r w:rsidRPr="006D3B9D">
        <w:rPr>
          <w:sz w:val="25"/>
          <w:szCs w:val="25"/>
        </w:rPr>
        <w:t>грн за рахунок</w:t>
      </w:r>
      <w:r w:rsidR="000D5CC0" w:rsidRPr="006D3B9D">
        <w:rPr>
          <w:sz w:val="25"/>
          <w:szCs w:val="25"/>
        </w:rPr>
        <w:t xml:space="preserve"> її </w:t>
      </w:r>
      <w:r w:rsidRPr="006D3B9D">
        <w:rPr>
          <w:sz w:val="25"/>
          <w:szCs w:val="25"/>
        </w:rPr>
        <w:t>доход</w:t>
      </w:r>
      <w:r w:rsidR="000D5CC0" w:rsidRPr="006D3B9D">
        <w:rPr>
          <w:sz w:val="25"/>
          <w:szCs w:val="25"/>
        </w:rPr>
        <w:t>ів</w:t>
      </w:r>
      <w:r w:rsidRPr="006D3B9D">
        <w:rPr>
          <w:sz w:val="25"/>
          <w:szCs w:val="25"/>
        </w:rPr>
        <w:t xml:space="preserve"> від </w:t>
      </w:r>
      <w:r w:rsidR="000D5CC0" w:rsidRPr="006D3B9D">
        <w:rPr>
          <w:sz w:val="25"/>
          <w:szCs w:val="25"/>
        </w:rPr>
        <w:t>підприємницької</w:t>
      </w:r>
      <w:r w:rsidRPr="006D3B9D">
        <w:rPr>
          <w:sz w:val="25"/>
          <w:szCs w:val="25"/>
        </w:rPr>
        <w:t xml:space="preserve"> діяльність </w:t>
      </w:r>
      <w:r w:rsidR="000D5CC0" w:rsidRPr="006D3B9D">
        <w:rPr>
          <w:sz w:val="25"/>
          <w:szCs w:val="25"/>
        </w:rPr>
        <w:t>в розмірі</w:t>
      </w:r>
      <w:r w:rsidRPr="006D3B9D">
        <w:rPr>
          <w:sz w:val="25"/>
          <w:szCs w:val="25"/>
        </w:rPr>
        <w:t xml:space="preserve"> 359</w:t>
      </w:r>
      <w:r w:rsidR="000D5CC0" w:rsidRPr="006D3B9D">
        <w:rPr>
          <w:sz w:val="25"/>
          <w:szCs w:val="25"/>
        </w:rPr>
        <w:t> </w:t>
      </w:r>
      <w:r w:rsidRPr="006D3B9D">
        <w:rPr>
          <w:sz w:val="25"/>
          <w:szCs w:val="25"/>
        </w:rPr>
        <w:t>721,</w:t>
      </w:r>
      <w:r w:rsidR="000D5CC0" w:rsidRPr="006D3B9D">
        <w:rPr>
          <w:sz w:val="25"/>
          <w:szCs w:val="25"/>
        </w:rPr>
        <w:t> </w:t>
      </w:r>
      <w:r w:rsidRPr="006D3B9D">
        <w:rPr>
          <w:sz w:val="25"/>
          <w:szCs w:val="25"/>
        </w:rPr>
        <w:t>29 грн</w:t>
      </w:r>
      <w:r w:rsidR="000D5CC0" w:rsidRPr="006D3B9D">
        <w:rPr>
          <w:sz w:val="25"/>
          <w:szCs w:val="25"/>
        </w:rPr>
        <w:t xml:space="preserve"> та пенсії у розмірі</w:t>
      </w:r>
      <w:r w:rsidRPr="006D3B9D">
        <w:rPr>
          <w:sz w:val="25"/>
          <w:szCs w:val="25"/>
        </w:rPr>
        <w:t xml:space="preserve"> 23</w:t>
      </w:r>
      <w:r w:rsidR="000D5CC0" w:rsidRPr="006D3B9D">
        <w:rPr>
          <w:sz w:val="25"/>
          <w:szCs w:val="25"/>
        </w:rPr>
        <w:t> </w:t>
      </w:r>
      <w:r w:rsidRPr="006D3B9D">
        <w:rPr>
          <w:sz w:val="25"/>
          <w:szCs w:val="25"/>
        </w:rPr>
        <w:t>392,17 гр</w:t>
      </w:r>
      <w:r w:rsidR="006105CA" w:rsidRPr="006D3B9D">
        <w:rPr>
          <w:sz w:val="25"/>
          <w:szCs w:val="25"/>
        </w:rPr>
        <w:t>ивень.</w:t>
      </w:r>
    </w:p>
    <w:p w14:paraId="5631BC94" w14:textId="31B7D63C" w:rsidR="000D5CC0" w:rsidRPr="006D3B9D" w:rsidRDefault="00DA4B00" w:rsidP="000D5CC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Витрати на забезпечення мінімальних базових потреб </w:t>
      </w:r>
      <w:r w:rsidR="000D5CC0" w:rsidRPr="006D3B9D">
        <w:rPr>
          <w:sz w:val="25"/>
          <w:szCs w:val="25"/>
        </w:rPr>
        <w:t>сім’ї</w:t>
      </w:r>
      <w:r w:rsidRPr="006D3B9D">
        <w:rPr>
          <w:sz w:val="25"/>
          <w:szCs w:val="25"/>
        </w:rPr>
        <w:t xml:space="preserve"> з 3</w:t>
      </w:r>
      <w:r w:rsidR="006105CA" w:rsidRPr="006D3B9D">
        <w:rPr>
          <w:sz w:val="25"/>
          <w:szCs w:val="25"/>
        </w:rPr>
        <w:t xml:space="preserve"> осіб</w:t>
      </w:r>
      <w:r w:rsidRPr="006D3B9D">
        <w:rPr>
          <w:sz w:val="25"/>
          <w:szCs w:val="25"/>
        </w:rPr>
        <w:t xml:space="preserve"> на рівні</w:t>
      </w:r>
      <w:r w:rsidR="000D5CC0" w:rsidRPr="006D3B9D">
        <w:rPr>
          <w:sz w:val="25"/>
          <w:szCs w:val="25"/>
        </w:rPr>
        <w:t xml:space="preserve"> </w:t>
      </w:r>
      <w:r w:rsidRPr="006D3B9D">
        <w:rPr>
          <w:sz w:val="25"/>
          <w:szCs w:val="25"/>
        </w:rPr>
        <w:t>прожиткового мінімуму за 2019 рік не могли с</w:t>
      </w:r>
      <w:r w:rsidR="006105CA" w:rsidRPr="006D3B9D">
        <w:rPr>
          <w:sz w:val="25"/>
          <w:szCs w:val="25"/>
        </w:rPr>
        <w:t>тановити</w:t>
      </w:r>
      <w:r w:rsidRPr="006D3B9D">
        <w:rPr>
          <w:sz w:val="25"/>
          <w:szCs w:val="25"/>
        </w:rPr>
        <w:t xml:space="preserve"> менше ніж 66</w:t>
      </w:r>
      <w:r w:rsidR="000D5CC0" w:rsidRPr="006D3B9D">
        <w:rPr>
          <w:sz w:val="25"/>
          <w:szCs w:val="25"/>
        </w:rPr>
        <w:t> </w:t>
      </w:r>
      <w:r w:rsidRPr="006D3B9D">
        <w:rPr>
          <w:sz w:val="25"/>
          <w:szCs w:val="25"/>
        </w:rPr>
        <w:t>765 грн (1</w:t>
      </w:r>
      <w:r w:rsidR="000D5CC0" w:rsidRPr="006D3B9D">
        <w:rPr>
          <w:sz w:val="25"/>
          <w:szCs w:val="25"/>
        </w:rPr>
        <w:t> </w:t>
      </w:r>
      <w:r w:rsidRPr="006D3B9D">
        <w:rPr>
          <w:sz w:val="25"/>
          <w:szCs w:val="25"/>
        </w:rPr>
        <w:t xml:space="preserve">921 грн х 3 </w:t>
      </w:r>
      <w:r w:rsidR="006105CA" w:rsidRPr="006D3B9D">
        <w:rPr>
          <w:sz w:val="25"/>
          <w:szCs w:val="25"/>
        </w:rPr>
        <w:t>особи</w:t>
      </w:r>
      <w:r w:rsidRPr="006D3B9D">
        <w:rPr>
          <w:sz w:val="25"/>
          <w:szCs w:val="25"/>
        </w:rPr>
        <w:t xml:space="preserve"> х 6 міс</w:t>
      </w:r>
      <w:r w:rsidR="00A756F3" w:rsidRPr="006D3B9D">
        <w:rPr>
          <w:sz w:val="25"/>
          <w:szCs w:val="25"/>
        </w:rPr>
        <w:t>яців</w:t>
      </w:r>
      <w:r w:rsidRPr="006D3B9D">
        <w:rPr>
          <w:sz w:val="25"/>
          <w:szCs w:val="25"/>
        </w:rPr>
        <w:t xml:space="preserve"> = 34 578 грн) + (2 007 грн х 3 </w:t>
      </w:r>
      <w:r w:rsidR="006105CA" w:rsidRPr="006D3B9D">
        <w:rPr>
          <w:sz w:val="25"/>
          <w:szCs w:val="25"/>
        </w:rPr>
        <w:t>особи</w:t>
      </w:r>
      <w:r w:rsidRPr="006D3B9D">
        <w:rPr>
          <w:sz w:val="25"/>
          <w:szCs w:val="25"/>
        </w:rPr>
        <w:t xml:space="preserve"> х 5 міс</w:t>
      </w:r>
      <w:r w:rsidR="00A756F3" w:rsidRPr="006D3B9D">
        <w:rPr>
          <w:sz w:val="25"/>
          <w:szCs w:val="25"/>
        </w:rPr>
        <w:t>яців</w:t>
      </w:r>
      <w:r w:rsidRPr="006D3B9D">
        <w:rPr>
          <w:sz w:val="25"/>
          <w:szCs w:val="25"/>
        </w:rPr>
        <w:t xml:space="preserve"> — 30 105, 00 грн)</w:t>
      </w:r>
      <w:r w:rsidR="00A756F3" w:rsidRPr="006D3B9D">
        <w:rPr>
          <w:sz w:val="25"/>
          <w:szCs w:val="25"/>
        </w:rPr>
        <w:t xml:space="preserve"> </w:t>
      </w:r>
      <w:r w:rsidRPr="006D3B9D">
        <w:rPr>
          <w:sz w:val="25"/>
          <w:szCs w:val="25"/>
        </w:rPr>
        <w:t>+ 2</w:t>
      </w:r>
      <w:r w:rsidR="006105CA" w:rsidRPr="006D3B9D">
        <w:rPr>
          <w:sz w:val="25"/>
          <w:szCs w:val="25"/>
        </w:rPr>
        <w:t> </w:t>
      </w:r>
      <w:r w:rsidRPr="006D3B9D">
        <w:rPr>
          <w:sz w:val="25"/>
          <w:szCs w:val="25"/>
        </w:rPr>
        <w:t>102</w:t>
      </w:r>
      <w:r w:rsidR="006105CA" w:rsidRPr="006D3B9D">
        <w:rPr>
          <w:sz w:val="25"/>
          <w:szCs w:val="25"/>
        </w:rPr>
        <w:t xml:space="preserve"> грн</w:t>
      </w:r>
      <w:r w:rsidRPr="006D3B9D">
        <w:rPr>
          <w:sz w:val="25"/>
          <w:szCs w:val="25"/>
        </w:rPr>
        <w:t>)</w:t>
      </w:r>
      <w:r w:rsidR="000D5CC0" w:rsidRPr="006D3B9D">
        <w:rPr>
          <w:sz w:val="25"/>
          <w:szCs w:val="25"/>
        </w:rPr>
        <w:t>.</w:t>
      </w:r>
    </w:p>
    <w:p w14:paraId="79394BDE" w14:textId="04150EDD" w:rsidR="000D5CC0" w:rsidRPr="006D3B9D" w:rsidRDefault="00DA4B00" w:rsidP="000D5CC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Залишок коштів у 2019 році від загального грошового доходу </w:t>
      </w:r>
      <w:r w:rsidR="006105CA" w:rsidRPr="006D3B9D">
        <w:rPr>
          <w:sz w:val="25"/>
          <w:szCs w:val="25"/>
        </w:rPr>
        <w:t>родини кандидатки</w:t>
      </w:r>
      <w:r w:rsidRPr="006D3B9D">
        <w:rPr>
          <w:sz w:val="25"/>
          <w:szCs w:val="25"/>
        </w:rPr>
        <w:t xml:space="preserve"> після виключення витрат</w:t>
      </w:r>
      <w:r w:rsidR="000D5CC0" w:rsidRPr="006D3B9D">
        <w:rPr>
          <w:sz w:val="25"/>
          <w:szCs w:val="25"/>
        </w:rPr>
        <w:t xml:space="preserve"> </w:t>
      </w:r>
      <w:r w:rsidRPr="006D3B9D">
        <w:rPr>
          <w:sz w:val="25"/>
          <w:szCs w:val="25"/>
        </w:rPr>
        <w:t xml:space="preserve">на забезпечення мінімальних базових потреб </w:t>
      </w:r>
      <w:r w:rsidR="000D5CC0" w:rsidRPr="006D3B9D">
        <w:rPr>
          <w:sz w:val="25"/>
          <w:szCs w:val="25"/>
        </w:rPr>
        <w:t>сім’ї</w:t>
      </w:r>
      <w:r w:rsidRPr="006D3B9D">
        <w:rPr>
          <w:sz w:val="25"/>
          <w:szCs w:val="25"/>
        </w:rPr>
        <w:t xml:space="preserve"> с</w:t>
      </w:r>
      <w:r w:rsidR="000D5CC0" w:rsidRPr="006D3B9D">
        <w:rPr>
          <w:sz w:val="25"/>
          <w:szCs w:val="25"/>
        </w:rPr>
        <w:t>тановив</w:t>
      </w:r>
      <w:r w:rsidRPr="006D3B9D">
        <w:rPr>
          <w:sz w:val="25"/>
          <w:szCs w:val="25"/>
        </w:rPr>
        <w:t xml:space="preserve"> 316</w:t>
      </w:r>
      <w:r w:rsidR="000D5CC0" w:rsidRPr="006D3B9D">
        <w:rPr>
          <w:sz w:val="25"/>
          <w:szCs w:val="25"/>
        </w:rPr>
        <w:t> </w:t>
      </w:r>
      <w:r w:rsidRPr="006D3B9D">
        <w:rPr>
          <w:sz w:val="25"/>
          <w:szCs w:val="25"/>
        </w:rPr>
        <w:t>348,</w:t>
      </w:r>
      <w:r w:rsidR="000D5CC0" w:rsidRPr="006D3B9D">
        <w:rPr>
          <w:sz w:val="25"/>
          <w:szCs w:val="25"/>
        </w:rPr>
        <w:t> </w:t>
      </w:r>
      <w:r w:rsidRPr="006D3B9D">
        <w:rPr>
          <w:sz w:val="25"/>
          <w:szCs w:val="25"/>
        </w:rPr>
        <w:t>46</w:t>
      </w:r>
      <w:r w:rsidR="000D5CC0" w:rsidRPr="006D3B9D">
        <w:rPr>
          <w:sz w:val="25"/>
          <w:szCs w:val="25"/>
        </w:rPr>
        <w:t> </w:t>
      </w:r>
      <w:r w:rsidRPr="006D3B9D">
        <w:rPr>
          <w:sz w:val="25"/>
          <w:szCs w:val="25"/>
        </w:rPr>
        <w:t>грн. (383</w:t>
      </w:r>
      <w:r w:rsidR="006105CA" w:rsidRPr="006D3B9D">
        <w:rPr>
          <w:sz w:val="25"/>
          <w:szCs w:val="25"/>
        </w:rPr>
        <w:t> </w:t>
      </w:r>
      <w:r w:rsidRPr="006D3B9D">
        <w:rPr>
          <w:sz w:val="25"/>
          <w:szCs w:val="25"/>
        </w:rPr>
        <w:t xml:space="preserve">113, 46 грн — 66 765 грн). </w:t>
      </w:r>
      <w:r w:rsidR="000D5CC0" w:rsidRPr="006D3B9D">
        <w:rPr>
          <w:sz w:val="25"/>
          <w:szCs w:val="25"/>
        </w:rPr>
        <w:t>В</w:t>
      </w:r>
      <w:r w:rsidRPr="006D3B9D">
        <w:rPr>
          <w:sz w:val="25"/>
          <w:szCs w:val="25"/>
        </w:rPr>
        <w:t xml:space="preserve">казана сума як накопичення цілком дозволяла </w:t>
      </w:r>
      <w:r w:rsidR="000D5CC0" w:rsidRPr="006D3B9D">
        <w:rPr>
          <w:sz w:val="25"/>
          <w:szCs w:val="25"/>
        </w:rPr>
        <w:t>сім’ї</w:t>
      </w:r>
      <w:r w:rsidRPr="006D3B9D">
        <w:rPr>
          <w:sz w:val="25"/>
          <w:szCs w:val="25"/>
        </w:rPr>
        <w:t xml:space="preserve"> кандидатки здійснити витрати у</w:t>
      </w:r>
      <w:r w:rsidR="000D5CC0" w:rsidRPr="006D3B9D">
        <w:rPr>
          <w:sz w:val="25"/>
          <w:szCs w:val="25"/>
        </w:rPr>
        <w:t xml:space="preserve"> </w:t>
      </w:r>
      <w:r w:rsidRPr="006D3B9D">
        <w:rPr>
          <w:sz w:val="25"/>
          <w:szCs w:val="25"/>
        </w:rPr>
        <w:t xml:space="preserve">2020 році </w:t>
      </w:r>
      <w:r w:rsidR="000D5CC0" w:rsidRPr="006D3B9D">
        <w:rPr>
          <w:sz w:val="25"/>
          <w:szCs w:val="25"/>
        </w:rPr>
        <w:t>для</w:t>
      </w:r>
      <w:r w:rsidRPr="006D3B9D">
        <w:rPr>
          <w:sz w:val="25"/>
          <w:szCs w:val="25"/>
        </w:rPr>
        <w:t xml:space="preserve"> придбання автомобіля </w:t>
      </w:r>
      <w:r w:rsidR="000D5CC0" w:rsidRPr="006D3B9D">
        <w:rPr>
          <w:sz w:val="25"/>
          <w:szCs w:val="25"/>
        </w:rPr>
        <w:t>марки «</w:t>
      </w:r>
      <w:r w:rsidRPr="006D3B9D">
        <w:rPr>
          <w:sz w:val="25"/>
          <w:szCs w:val="25"/>
        </w:rPr>
        <w:t>FORD FUSION</w:t>
      </w:r>
      <w:r w:rsidR="000D5CC0" w:rsidRPr="006D3B9D">
        <w:rPr>
          <w:sz w:val="25"/>
          <w:szCs w:val="25"/>
        </w:rPr>
        <w:t>»</w:t>
      </w:r>
      <w:r w:rsidRPr="006D3B9D">
        <w:rPr>
          <w:sz w:val="25"/>
          <w:szCs w:val="25"/>
        </w:rPr>
        <w:t xml:space="preserve"> за ціною 120</w:t>
      </w:r>
      <w:r w:rsidR="006105CA" w:rsidRPr="006D3B9D">
        <w:rPr>
          <w:sz w:val="25"/>
          <w:szCs w:val="25"/>
        </w:rPr>
        <w:t> </w:t>
      </w:r>
      <w:r w:rsidRPr="006D3B9D">
        <w:rPr>
          <w:sz w:val="25"/>
          <w:szCs w:val="25"/>
        </w:rPr>
        <w:t xml:space="preserve">538,05 грн (червень 2020 року) та </w:t>
      </w:r>
      <w:r w:rsidR="006C51F6" w:rsidRPr="006D3B9D">
        <w:rPr>
          <w:sz w:val="25"/>
          <w:szCs w:val="25"/>
        </w:rPr>
        <w:t>сплати послуги</w:t>
      </w:r>
      <w:r w:rsidRPr="006D3B9D">
        <w:rPr>
          <w:sz w:val="25"/>
          <w:szCs w:val="25"/>
        </w:rPr>
        <w:t xml:space="preserve"> за його розмитнення </w:t>
      </w:r>
      <w:r w:rsidR="00A756F3" w:rsidRPr="006D3B9D">
        <w:rPr>
          <w:sz w:val="25"/>
          <w:szCs w:val="25"/>
        </w:rPr>
        <w:t>в</w:t>
      </w:r>
      <w:r w:rsidRPr="006D3B9D">
        <w:rPr>
          <w:sz w:val="25"/>
          <w:szCs w:val="25"/>
        </w:rPr>
        <w:t xml:space="preserve"> </w:t>
      </w:r>
      <w:r w:rsidR="006C51F6" w:rsidRPr="006D3B9D">
        <w:rPr>
          <w:sz w:val="25"/>
          <w:szCs w:val="25"/>
        </w:rPr>
        <w:t>розмірі</w:t>
      </w:r>
      <w:r w:rsidRPr="006D3B9D">
        <w:rPr>
          <w:sz w:val="25"/>
          <w:szCs w:val="25"/>
        </w:rPr>
        <w:t xml:space="preserve"> 44</w:t>
      </w:r>
      <w:r w:rsidR="006C51F6" w:rsidRPr="006D3B9D">
        <w:rPr>
          <w:sz w:val="25"/>
          <w:szCs w:val="25"/>
        </w:rPr>
        <w:t> </w:t>
      </w:r>
      <w:r w:rsidRPr="006D3B9D">
        <w:rPr>
          <w:sz w:val="25"/>
          <w:szCs w:val="25"/>
        </w:rPr>
        <w:t>326 грн (вересень</w:t>
      </w:r>
      <w:r w:rsidR="000D5CC0" w:rsidRPr="006D3B9D">
        <w:rPr>
          <w:sz w:val="25"/>
          <w:szCs w:val="25"/>
        </w:rPr>
        <w:t xml:space="preserve"> </w:t>
      </w:r>
      <w:r w:rsidRPr="006D3B9D">
        <w:rPr>
          <w:sz w:val="25"/>
          <w:szCs w:val="25"/>
        </w:rPr>
        <w:t>2020 року).</w:t>
      </w:r>
    </w:p>
    <w:p w14:paraId="77A9BB5F" w14:textId="22EE8378" w:rsidR="003A45F2" w:rsidRPr="006D3B9D" w:rsidRDefault="000D5CC0" w:rsidP="003A45F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Автомобіль марки «VOLKSWAGEN TIGUAN», </w:t>
      </w:r>
      <w:r w:rsidR="003D60BD">
        <w:rPr>
          <w:sz w:val="25"/>
          <w:szCs w:val="25"/>
        </w:rPr>
        <w:t>НОМЕР_3</w:t>
      </w:r>
      <w:r w:rsidRPr="006D3B9D">
        <w:rPr>
          <w:sz w:val="25"/>
          <w:szCs w:val="25"/>
        </w:rPr>
        <w:t>, об’єм двигуна 1984 см</w:t>
      </w:r>
      <w:r w:rsidRPr="006D3B9D">
        <w:rPr>
          <w:sz w:val="25"/>
          <w:szCs w:val="25"/>
          <w:vertAlign w:val="superscript"/>
        </w:rPr>
        <w:t>3</w:t>
      </w:r>
      <w:r w:rsidRPr="006D3B9D">
        <w:rPr>
          <w:sz w:val="25"/>
          <w:szCs w:val="25"/>
        </w:rPr>
        <w:t>, 2018 року випуску, державна реєстрація 28 травня 2021 року</w:t>
      </w:r>
      <w:r w:rsidR="00A756F3" w:rsidRPr="006D3B9D">
        <w:rPr>
          <w:sz w:val="25"/>
          <w:szCs w:val="25"/>
        </w:rPr>
        <w:t>,</w:t>
      </w:r>
      <w:r w:rsidRPr="006D3B9D">
        <w:rPr>
          <w:sz w:val="25"/>
          <w:szCs w:val="25"/>
        </w:rPr>
        <w:t xml:space="preserve"> вартістю 377 745,91</w:t>
      </w:r>
      <w:r w:rsidR="003D60BD">
        <w:rPr>
          <w:sz w:val="25"/>
          <w:szCs w:val="25"/>
        </w:rPr>
        <w:t> </w:t>
      </w:r>
      <w:r w:rsidRPr="006D3B9D">
        <w:rPr>
          <w:sz w:val="25"/>
          <w:szCs w:val="25"/>
        </w:rPr>
        <w:t>грн придбан</w:t>
      </w:r>
      <w:r w:rsidR="00A756F3" w:rsidRPr="006D3B9D">
        <w:rPr>
          <w:sz w:val="25"/>
          <w:szCs w:val="25"/>
        </w:rPr>
        <w:t>о</w:t>
      </w:r>
      <w:r w:rsidRPr="006D3B9D">
        <w:rPr>
          <w:sz w:val="25"/>
          <w:szCs w:val="25"/>
        </w:rPr>
        <w:t xml:space="preserve"> на аукціоні </w:t>
      </w:r>
      <w:r w:rsidR="00A756F3" w:rsidRPr="006D3B9D">
        <w:rPr>
          <w:sz w:val="25"/>
          <w:szCs w:val="25"/>
        </w:rPr>
        <w:t xml:space="preserve">в </w:t>
      </w:r>
      <w:r w:rsidRPr="006D3B9D">
        <w:rPr>
          <w:sz w:val="25"/>
          <w:szCs w:val="25"/>
        </w:rPr>
        <w:t>США 21</w:t>
      </w:r>
      <w:r w:rsidR="00A756F3" w:rsidRPr="006D3B9D">
        <w:rPr>
          <w:sz w:val="25"/>
          <w:szCs w:val="25"/>
        </w:rPr>
        <w:t> </w:t>
      </w:r>
      <w:r w:rsidR="003A45F2" w:rsidRPr="006D3B9D">
        <w:rPr>
          <w:sz w:val="25"/>
          <w:szCs w:val="25"/>
        </w:rPr>
        <w:t xml:space="preserve">жовтня </w:t>
      </w:r>
      <w:r w:rsidRPr="006D3B9D">
        <w:rPr>
          <w:sz w:val="25"/>
          <w:szCs w:val="25"/>
        </w:rPr>
        <w:t>2020</w:t>
      </w:r>
      <w:r w:rsidR="006C51F6" w:rsidRPr="006D3B9D">
        <w:rPr>
          <w:sz w:val="25"/>
          <w:szCs w:val="25"/>
        </w:rPr>
        <w:t> </w:t>
      </w:r>
      <w:r w:rsidR="003A45F2" w:rsidRPr="006D3B9D">
        <w:rPr>
          <w:sz w:val="25"/>
          <w:szCs w:val="25"/>
        </w:rPr>
        <w:t>року</w:t>
      </w:r>
      <w:r w:rsidRPr="006D3B9D">
        <w:rPr>
          <w:sz w:val="25"/>
          <w:szCs w:val="25"/>
        </w:rPr>
        <w:t xml:space="preserve"> за</w:t>
      </w:r>
      <w:r w:rsidR="003A45F2" w:rsidRPr="006D3B9D">
        <w:rPr>
          <w:sz w:val="25"/>
          <w:szCs w:val="25"/>
        </w:rPr>
        <w:t xml:space="preserve"> ціною</w:t>
      </w:r>
      <w:r w:rsidRPr="006D3B9D">
        <w:rPr>
          <w:sz w:val="25"/>
          <w:szCs w:val="25"/>
        </w:rPr>
        <w:t xml:space="preserve"> 10</w:t>
      </w:r>
      <w:r w:rsidR="003A45F2" w:rsidRPr="006D3B9D">
        <w:rPr>
          <w:sz w:val="25"/>
          <w:szCs w:val="25"/>
        </w:rPr>
        <w:t> </w:t>
      </w:r>
      <w:r w:rsidRPr="006D3B9D">
        <w:rPr>
          <w:sz w:val="25"/>
          <w:szCs w:val="25"/>
        </w:rPr>
        <w:t>000</w:t>
      </w:r>
      <w:r w:rsidR="003A45F2" w:rsidRPr="006D3B9D">
        <w:rPr>
          <w:sz w:val="25"/>
          <w:szCs w:val="25"/>
        </w:rPr>
        <w:t xml:space="preserve"> </w:t>
      </w:r>
      <w:proofErr w:type="spellStart"/>
      <w:r w:rsidRPr="006D3B9D">
        <w:rPr>
          <w:sz w:val="25"/>
          <w:szCs w:val="25"/>
        </w:rPr>
        <w:t>дол</w:t>
      </w:r>
      <w:proofErr w:type="spellEnd"/>
      <w:r w:rsidR="003A45F2" w:rsidRPr="006D3B9D">
        <w:rPr>
          <w:sz w:val="25"/>
          <w:szCs w:val="25"/>
        </w:rPr>
        <w:t>.</w:t>
      </w:r>
      <w:r w:rsidRPr="006D3B9D">
        <w:rPr>
          <w:sz w:val="25"/>
          <w:szCs w:val="25"/>
        </w:rPr>
        <w:t xml:space="preserve"> США (</w:t>
      </w:r>
      <w:r w:rsidR="006C51F6" w:rsidRPr="006D3B9D">
        <w:rPr>
          <w:sz w:val="25"/>
          <w:szCs w:val="25"/>
        </w:rPr>
        <w:t>у стані</w:t>
      </w:r>
      <w:r w:rsidRPr="006D3B9D">
        <w:rPr>
          <w:sz w:val="25"/>
          <w:szCs w:val="25"/>
        </w:rPr>
        <w:t xml:space="preserve"> після залиття водою</w:t>
      </w:r>
      <w:r w:rsidR="00A756F3" w:rsidRPr="006D3B9D">
        <w:rPr>
          <w:sz w:val="25"/>
          <w:szCs w:val="25"/>
        </w:rPr>
        <w:t>)</w:t>
      </w:r>
      <w:r w:rsidRPr="006D3B9D">
        <w:rPr>
          <w:sz w:val="25"/>
          <w:szCs w:val="25"/>
        </w:rPr>
        <w:t>.</w:t>
      </w:r>
    </w:p>
    <w:p w14:paraId="0D593A68" w14:textId="79B8EB63" w:rsidR="003A45F2" w:rsidRPr="00B637EF" w:rsidRDefault="000D5CC0" w:rsidP="003A45F2">
      <w:pPr>
        <w:pStyle w:val="a9"/>
        <w:numPr>
          <w:ilvl w:val="0"/>
          <w:numId w:val="8"/>
        </w:numPr>
        <w:shd w:val="clear" w:color="auto" w:fill="FFFFFF"/>
        <w:tabs>
          <w:tab w:val="left" w:pos="426"/>
        </w:tabs>
        <w:spacing w:after="200" w:line="276" w:lineRule="auto"/>
        <w:ind w:left="0" w:firstLine="709"/>
        <w:jc w:val="both"/>
        <w:rPr>
          <w:sz w:val="25"/>
          <w:szCs w:val="25"/>
        </w:rPr>
      </w:pPr>
      <w:r w:rsidRPr="00B637EF">
        <w:rPr>
          <w:sz w:val="25"/>
          <w:szCs w:val="25"/>
        </w:rPr>
        <w:t>Вартість автомобіля визначен</w:t>
      </w:r>
      <w:r w:rsidR="00A756F3" w:rsidRPr="00B637EF">
        <w:rPr>
          <w:sz w:val="25"/>
          <w:szCs w:val="25"/>
        </w:rPr>
        <w:t>о</w:t>
      </w:r>
      <w:r w:rsidRPr="00B637EF">
        <w:rPr>
          <w:sz w:val="25"/>
          <w:szCs w:val="25"/>
        </w:rPr>
        <w:t xml:space="preserve"> у вантажно-митній </w:t>
      </w:r>
      <w:r w:rsidR="003A45F2" w:rsidRPr="00B637EF">
        <w:rPr>
          <w:sz w:val="25"/>
          <w:szCs w:val="25"/>
        </w:rPr>
        <w:t>декларацій</w:t>
      </w:r>
      <w:r w:rsidRPr="00B637EF">
        <w:rPr>
          <w:sz w:val="25"/>
          <w:szCs w:val="25"/>
        </w:rPr>
        <w:t xml:space="preserve"> №</w:t>
      </w:r>
      <w:r w:rsidR="003A45F2" w:rsidRPr="00B637EF">
        <w:rPr>
          <w:sz w:val="25"/>
          <w:szCs w:val="25"/>
        </w:rPr>
        <w:t> </w:t>
      </w:r>
      <w:r w:rsidRPr="00B637EF">
        <w:rPr>
          <w:sz w:val="25"/>
          <w:szCs w:val="25"/>
        </w:rPr>
        <w:t>UA500030/2021/044596 у</w:t>
      </w:r>
      <w:r w:rsidR="003A45F2" w:rsidRPr="00B637EF">
        <w:rPr>
          <w:sz w:val="25"/>
          <w:szCs w:val="25"/>
        </w:rPr>
        <w:t xml:space="preserve"> </w:t>
      </w:r>
      <w:r w:rsidRPr="00B637EF">
        <w:rPr>
          <w:sz w:val="25"/>
          <w:szCs w:val="25"/>
        </w:rPr>
        <w:t xml:space="preserve">розмірі 377 745,91 грн. </w:t>
      </w:r>
      <w:r w:rsidR="003A45F2" w:rsidRPr="00B637EF">
        <w:rPr>
          <w:sz w:val="25"/>
          <w:szCs w:val="25"/>
        </w:rPr>
        <w:t>Фактичне</w:t>
      </w:r>
      <w:r w:rsidRPr="00B637EF">
        <w:rPr>
          <w:sz w:val="25"/>
          <w:szCs w:val="25"/>
        </w:rPr>
        <w:t xml:space="preserve"> користування</w:t>
      </w:r>
      <w:r w:rsidR="00A756F3" w:rsidRPr="00B637EF">
        <w:rPr>
          <w:sz w:val="25"/>
          <w:szCs w:val="25"/>
        </w:rPr>
        <w:t xml:space="preserve"> —</w:t>
      </w:r>
      <w:r w:rsidRPr="00B637EF">
        <w:rPr>
          <w:sz w:val="25"/>
          <w:szCs w:val="25"/>
        </w:rPr>
        <w:t xml:space="preserve"> з травня 2021</w:t>
      </w:r>
      <w:r w:rsidR="006C51F6" w:rsidRPr="00B637EF">
        <w:rPr>
          <w:sz w:val="25"/>
          <w:szCs w:val="25"/>
        </w:rPr>
        <w:t> </w:t>
      </w:r>
      <w:r w:rsidRPr="00B637EF">
        <w:rPr>
          <w:sz w:val="25"/>
          <w:szCs w:val="25"/>
        </w:rPr>
        <w:t>року.</w:t>
      </w:r>
    </w:p>
    <w:p w14:paraId="72648BD9" w14:textId="6E314C0F" w:rsidR="0027655A" w:rsidRPr="006D3B9D" w:rsidRDefault="000D5CC0" w:rsidP="0027655A">
      <w:pPr>
        <w:pStyle w:val="a9"/>
        <w:numPr>
          <w:ilvl w:val="0"/>
          <w:numId w:val="8"/>
        </w:numPr>
        <w:shd w:val="clear" w:color="auto" w:fill="FFFFFF"/>
        <w:tabs>
          <w:tab w:val="left" w:pos="426"/>
        </w:tabs>
        <w:spacing w:after="200" w:line="276" w:lineRule="auto"/>
        <w:ind w:left="0" w:firstLine="709"/>
        <w:jc w:val="both"/>
        <w:rPr>
          <w:sz w:val="25"/>
          <w:szCs w:val="25"/>
        </w:rPr>
      </w:pPr>
      <w:r w:rsidRPr="00B637EF">
        <w:rPr>
          <w:sz w:val="25"/>
          <w:szCs w:val="25"/>
        </w:rPr>
        <w:t>Датою набуття</w:t>
      </w:r>
      <w:r w:rsidRPr="006D3B9D">
        <w:rPr>
          <w:sz w:val="25"/>
          <w:szCs w:val="25"/>
        </w:rPr>
        <w:t xml:space="preserve"> права власності на транспортний засіб, придбаний за кордоном, </w:t>
      </w:r>
      <w:r w:rsidR="003A45F2" w:rsidRPr="006D3B9D">
        <w:rPr>
          <w:sz w:val="25"/>
          <w:szCs w:val="25"/>
        </w:rPr>
        <w:t>є</w:t>
      </w:r>
      <w:r w:rsidRPr="006D3B9D">
        <w:rPr>
          <w:sz w:val="25"/>
          <w:szCs w:val="25"/>
        </w:rPr>
        <w:t xml:space="preserve"> дата</w:t>
      </w:r>
      <w:r w:rsidR="003A45F2" w:rsidRPr="006D3B9D">
        <w:rPr>
          <w:sz w:val="25"/>
          <w:szCs w:val="25"/>
        </w:rPr>
        <w:t xml:space="preserve"> </w:t>
      </w:r>
      <w:r w:rsidRPr="006D3B9D">
        <w:rPr>
          <w:sz w:val="25"/>
          <w:szCs w:val="25"/>
        </w:rPr>
        <w:t xml:space="preserve">здійснення оплати за такий транспортний засіб, проте </w:t>
      </w:r>
      <w:r w:rsidR="007D6058" w:rsidRPr="006D3B9D">
        <w:rPr>
          <w:sz w:val="25"/>
          <w:szCs w:val="25"/>
        </w:rPr>
        <w:t>в</w:t>
      </w:r>
      <w:r w:rsidRPr="006D3B9D">
        <w:rPr>
          <w:sz w:val="25"/>
          <w:szCs w:val="25"/>
        </w:rPr>
        <w:t xml:space="preserve"> </w:t>
      </w:r>
      <w:r w:rsidR="003A45F2" w:rsidRPr="006D3B9D">
        <w:rPr>
          <w:sz w:val="25"/>
          <w:szCs w:val="25"/>
        </w:rPr>
        <w:t>кандидатки</w:t>
      </w:r>
      <w:r w:rsidRPr="006D3B9D">
        <w:rPr>
          <w:sz w:val="25"/>
          <w:szCs w:val="25"/>
        </w:rPr>
        <w:t xml:space="preserve"> не </w:t>
      </w:r>
      <w:r w:rsidR="007D6058" w:rsidRPr="006D3B9D">
        <w:rPr>
          <w:sz w:val="25"/>
          <w:szCs w:val="25"/>
        </w:rPr>
        <w:t>зберіглось</w:t>
      </w:r>
      <w:r w:rsidRPr="006D3B9D">
        <w:rPr>
          <w:sz w:val="25"/>
          <w:szCs w:val="25"/>
        </w:rPr>
        <w:t xml:space="preserve"> письмов</w:t>
      </w:r>
      <w:r w:rsidR="007D6058" w:rsidRPr="006D3B9D">
        <w:rPr>
          <w:sz w:val="25"/>
          <w:szCs w:val="25"/>
        </w:rPr>
        <w:t>их</w:t>
      </w:r>
      <w:r w:rsidRPr="006D3B9D">
        <w:rPr>
          <w:sz w:val="25"/>
          <w:szCs w:val="25"/>
        </w:rPr>
        <w:t xml:space="preserve"> доказ</w:t>
      </w:r>
      <w:r w:rsidR="007D6058" w:rsidRPr="006D3B9D">
        <w:rPr>
          <w:sz w:val="25"/>
          <w:szCs w:val="25"/>
        </w:rPr>
        <w:t>ів</w:t>
      </w:r>
      <w:r w:rsidRPr="006D3B9D">
        <w:rPr>
          <w:sz w:val="25"/>
          <w:szCs w:val="25"/>
        </w:rPr>
        <w:t>, що</w:t>
      </w:r>
      <w:r w:rsidR="003A45F2" w:rsidRPr="006D3B9D">
        <w:rPr>
          <w:sz w:val="25"/>
          <w:szCs w:val="25"/>
        </w:rPr>
        <w:t xml:space="preserve"> </w:t>
      </w:r>
      <w:r w:rsidRPr="006D3B9D">
        <w:rPr>
          <w:sz w:val="25"/>
          <w:szCs w:val="25"/>
        </w:rPr>
        <w:t>підтверджують здійснення указаного платежу</w:t>
      </w:r>
      <w:r w:rsidR="007D6058" w:rsidRPr="006D3B9D">
        <w:rPr>
          <w:sz w:val="25"/>
          <w:szCs w:val="25"/>
        </w:rPr>
        <w:t>,</w:t>
      </w:r>
      <w:r w:rsidRPr="006D3B9D">
        <w:rPr>
          <w:sz w:val="25"/>
          <w:szCs w:val="25"/>
        </w:rPr>
        <w:t xml:space="preserve"> а тому з метою належного документального</w:t>
      </w:r>
      <w:r w:rsidR="003A45F2" w:rsidRPr="006D3B9D">
        <w:rPr>
          <w:sz w:val="25"/>
          <w:szCs w:val="25"/>
        </w:rPr>
        <w:t xml:space="preserve"> </w:t>
      </w:r>
      <w:r w:rsidRPr="006D3B9D">
        <w:rPr>
          <w:sz w:val="25"/>
          <w:szCs w:val="25"/>
        </w:rPr>
        <w:t xml:space="preserve">підтвердження </w:t>
      </w:r>
      <w:r w:rsidR="003A45F2" w:rsidRPr="006D3B9D">
        <w:rPr>
          <w:sz w:val="25"/>
          <w:szCs w:val="25"/>
        </w:rPr>
        <w:t xml:space="preserve">кандидатка </w:t>
      </w:r>
      <w:r w:rsidRPr="006D3B9D">
        <w:rPr>
          <w:sz w:val="25"/>
          <w:szCs w:val="25"/>
        </w:rPr>
        <w:t>зазначила як дату набуття права власності на транспортний засіб дату його</w:t>
      </w:r>
      <w:r w:rsidR="003A45F2" w:rsidRPr="006D3B9D">
        <w:rPr>
          <w:sz w:val="25"/>
          <w:szCs w:val="25"/>
        </w:rPr>
        <w:t xml:space="preserve"> </w:t>
      </w:r>
      <w:r w:rsidRPr="006D3B9D">
        <w:rPr>
          <w:sz w:val="25"/>
          <w:szCs w:val="25"/>
        </w:rPr>
        <w:t xml:space="preserve">державної </w:t>
      </w:r>
      <w:r w:rsidR="003A45F2" w:rsidRPr="006D3B9D">
        <w:rPr>
          <w:sz w:val="25"/>
          <w:szCs w:val="25"/>
        </w:rPr>
        <w:t>реєстрації</w:t>
      </w:r>
      <w:r w:rsidRPr="006D3B9D">
        <w:rPr>
          <w:sz w:val="25"/>
          <w:szCs w:val="25"/>
        </w:rPr>
        <w:t xml:space="preserve"> на території України</w:t>
      </w:r>
      <w:r w:rsidR="003A45F2" w:rsidRPr="006D3B9D">
        <w:rPr>
          <w:sz w:val="25"/>
          <w:szCs w:val="25"/>
        </w:rPr>
        <w:t>.</w:t>
      </w:r>
    </w:p>
    <w:p w14:paraId="0A8AE4FA" w14:textId="3B05CCEE" w:rsidR="0027655A" w:rsidRPr="006D3B9D" w:rsidRDefault="0027655A" w:rsidP="0027655A">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Фінансові витрати сім’ї кандидатки для придбання автомобіля марки «VOLKSWAGEN TIGUAN» 2018 року випуску відбулися у 2020 році i </w:t>
      </w:r>
      <w:r w:rsidR="007D6058" w:rsidRPr="006D3B9D">
        <w:rPr>
          <w:sz w:val="25"/>
          <w:szCs w:val="25"/>
        </w:rPr>
        <w:t>становили</w:t>
      </w:r>
      <w:r w:rsidRPr="006D3B9D">
        <w:rPr>
          <w:sz w:val="25"/>
          <w:szCs w:val="25"/>
        </w:rPr>
        <w:t xml:space="preserve"> 377 745,91 гр</w:t>
      </w:r>
      <w:r w:rsidR="007D6058" w:rsidRPr="006D3B9D">
        <w:rPr>
          <w:sz w:val="25"/>
          <w:szCs w:val="25"/>
        </w:rPr>
        <w:t>ивень</w:t>
      </w:r>
      <w:r w:rsidR="006C51F6" w:rsidRPr="006D3B9D">
        <w:rPr>
          <w:sz w:val="25"/>
          <w:szCs w:val="25"/>
        </w:rPr>
        <w:t>.</w:t>
      </w:r>
      <w:r w:rsidRPr="006D3B9D">
        <w:rPr>
          <w:sz w:val="25"/>
          <w:szCs w:val="25"/>
        </w:rPr>
        <w:t xml:space="preserve"> </w:t>
      </w:r>
      <w:r w:rsidR="006C51F6" w:rsidRPr="006D3B9D">
        <w:rPr>
          <w:sz w:val="25"/>
          <w:szCs w:val="25"/>
        </w:rPr>
        <w:t>Ф</w:t>
      </w:r>
      <w:r w:rsidRPr="006D3B9D">
        <w:rPr>
          <w:sz w:val="25"/>
          <w:szCs w:val="25"/>
        </w:rPr>
        <w:t xml:space="preserve">актично автомобіль було передано його власнику у травні 2021 року, коли </w:t>
      </w:r>
      <w:r w:rsidR="007D6058" w:rsidRPr="006D3B9D">
        <w:rPr>
          <w:sz w:val="25"/>
          <w:szCs w:val="25"/>
        </w:rPr>
        <w:t>цей автомобіль</w:t>
      </w:r>
      <w:r w:rsidRPr="006D3B9D">
        <w:rPr>
          <w:sz w:val="25"/>
          <w:szCs w:val="25"/>
        </w:rPr>
        <w:t xml:space="preserve"> </w:t>
      </w:r>
      <w:r w:rsidR="007D6058" w:rsidRPr="006D3B9D">
        <w:rPr>
          <w:sz w:val="25"/>
          <w:szCs w:val="25"/>
        </w:rPr>
        <w:t>було</w:t>
      </w:r>
      <w:r w:rsidRPr="006D3B9D">
        <w:rPr>
          <w:sz w:val="25"/>
          <w:szCs w:val="25"/>
        </w:rPr>
        <w:t xml:space="preserve"> зареєстрован</w:t>
      </w:r>
      <w:r w:rsidR="007D6058" w:rsidRPr="006D3B9D">
        <w:rPr>
          <w:sz w:val="25"/>
          <w:szCs w:val="25"/>
        </w:rPr>
        <w:t>о</w:t>
      </w:r>
      <w:r w:rsidRPr="006D3B9D">
        <w:rPr>
          <w:sz w:val="25"/>
          <w:szCs w:val="25"/>
        </w:rPr>
        <w:t>.</w:t>
      </w:r>
    </w:p>
    <w:p w14:paraId="289E834C" w14:textId="05E75D3A" w:rsidR="0027655A" w:rsidRPr="006D3B9D" w:rsidRDefault="0027655A" w:rsidP="0027655A">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Витрати </w:t>
      </w:r>
      <w:r w:rsidR="006C51F6" w:rsidRPr="006D3B9D">
        <w:rPr>
          <w:sz w:val="25"/>
          <w:szCs w:val="25"/>
        </w:rPr>
        <w:t>для</w:t>
      </w:r>
      <w:r w:rsidRPr="006D3B9D">
        <w:rPr>
          <w:sz w:val="25"/>
          <w:szCs w:val="25"/>
        </w:rPr>
        <w:t xml:space="preserve"> придбання вказаного транспортного засобу здійснен</w:t>
      </w:r>
      <w:r w:rsidR="007D6058" w:rsidRPr="006D3B9D">
        <w:rPr>
          <w:sz w:val="25"/>
          <w:szCs w:val="25"/>
        </w:rPr>
        <w:t>о</w:t>
      </w:r>
      <w:r w:rsidRPr="006D3B9D">
        <w:rPr>
          <w:sz w:val="25"/>
          <w:szCs w:val="25"/>
        </w:rPr>
        <w:t xml:space="preserve"> частково за рахунок накопичень грошового доходу за 2019 рік, розмір яких не міг бути більш</w:t>
      </w:r>
      <w:r w:rsidR="007D6058" w:rsidRPr="006D3B9D">
        <w:rPr>
          <w:sz w:val="25"/>
          <w:szCs w:val="25"/>
        </w:rPr>
        <w:t>им</w:t>
      </w:r>
      <w:r w:rsidRPr="006D3B9D">
        <w:rPr>
          <w:sz w:val="25"/>
          <w:szCs w:val="25"/>
        </w:rPr>
        <w:t xml:space="preserve"> ніж 151 484,41 грн (316 348,46 грн (залишок коштів від загального грошового доходу сім’ї після виключення витрат на забезпечення базових потреб сім’ї) — 120 538,05 грн</w:t>
      </w:r>
      <w:r w:rsidR="006C51F6" w:rsidRPr="006D3B9D">
        <w:rPr>
          <w:sz w:val="25"/>
          <w:szCs w:val="25"/>
        </w:rPr>
        <w:t xml:space="preserve"> </w:t>
      </w:r>
      <w:r w:rsidRPr="006D3B9D">
        <w:rPr>
          <w:sz w:val="25"/>
          <w:szCs w:val="25"/>
        </w:rPr>
        <w:t xml:space="preserve">(ціна придбання </w:t>
      </w:r>
      <w:r w:rsidR="006C51F6" w:rsidRPr="006D3B9D">
        <w:rPr>
          <w:sz w:val="25"/>
          <w:szCs w:val="25"/>
        </w:rPr>
        <w:t>автомобіля марки «</w:t>
      </w:r>
      <w:r w:rsidRPr="006D3B9D">
        <w:rPr>
          <w:sz w:val="25"/>
          <w:szCs w:val="25"/>
        </w:rPr>
        <w:t>FORD FUSION</w:t>
      </w:r>
      <w:r w:rsidR="006C51F6" w:rsidRPr="006D3B9D">
        <w:rPr>
          <w:sz w:val="25"/>
          <w:szCs w:val="25"/>
        </w:rPr>
        <w:t>»</w:t>
      </w:r>
      <w:r w:rsidRPr="006D3B9D">
        <w:rPr>
          <w:sz w:val="25"/>
          <w:szCs w:val="25"/>
        </w:rPr>
        <w:t>) — 44 326 грн (вартість розмитнення автомобіля марки «FORD FUSION») та частково за рахунок грошового доходу сім’ї за 2020 рік.</w:t>
      </w:r>
    </w:p>
    <w:p w14:paraId="07FF20D7" w14:textId="768E48D1" w:rsidR="00C737FB" w:rsidRPr="006D3B9D" w:rsidRDefault="0027655A" w:rsidP="00C737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2020 році загальний грошовий дохід сім’ї кандидатки становив 624</w:t>
      </w:r>
      <w:r w:rsidR="006C51F6" w:rsidRPr="006D3B9D">
        <w:rPr>
          <w:sz w:val="25"/>
          <w:szCs w:val="25"/>
        </w:rPr>
        <w:t> </w:t>
      </w:r>
      <w:r w:rsidRPr="006D3B9D">
        <w:rPr>
          <w:sz w:val="25"/>
          <w:szCs w:val="25"/>
        </w:rPr>
        <w:t xml:space="preserve">800 грн за рахунок доходів кандидатки від підприємницької діяльність у розмірі 600 000 грн та пенсії </w:t>
      </w:r>
      <w:r w:rsidR="007D6058" w:rsidRPr="006D3B9D">
        <w:rPr>
          <w:sz w:val="25"/>
          <w:szCs w:val="25"/>
        </w:rPr>
        <w:t>в</w:t>
      </w:r>
      <w:r w:rsidRPr="006D3B9D">
        <w:rPr>
          <w:sz w:val="25"/>
          <w:szCs w:val="25"/>
        </w:rPr>
        <w:t xml:space="preserve"> розмірі 24</w:t>
      </w:r>
      <w:r w:rsidR="006C51F6" w:rsidRPr="006D3B9D">
        <w:rPr>
          <w:sz w:val="25"/>
          <w:szCs w:val="25"/>
        </w:rPr>
        <w:t> </w:t>
      </w:r>
      <w:r w:rsidRPr="006D3B9D">
        <w:rPr>
          <w:sz w:val="25"/>
          <w:szCs w:val="25"/>
        </w:rPr>
        <w:t>800 грн.</w:t>
      </w:r>
    </w:p>
    <w:p w14:paraId="02854B30" w14:textId="45BE80EA" w:rsidR="00C737FB" w:rsidRPr="006D3B9D" w:rsidRDefault="0027655A" w:rsidP="00C737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Витрати на забезпечення мінімальних базових потреб </w:t>
      </w:r>
      <w:r w:rsidR="00C737FB" w:rsidRPr="006D3B9D">
        <w:rPr>
          <w:sz w:val="25"/>
          <w:szCs w:val="25"/>
        </w:rPr>
        <w:t>сім’ї</w:t>
      </w:r>
      <w:r w:rsidRPr="006D3B9D">
        <w:rPr>
          <w:sz w:val="25"/>
          <w:szCs w:val="25"/>
        </w:rPr>
        <w:t xml:space="preserve"> з 3</w:t>
      </w:r>
      <w:r w:rsidR="006C51F6" w:rsidRPr="006D3B9D">
        <w:rPr>
          <w:sz w:val="25"/>
          <w:szCs w:val="25"/>
        </w:rPr>
        <w:t xml:space="preserve"> осіб</w:t>
      </w:r>
      <w:r w:rsidRPr="006D3B9D">
        <w:rPr>
          <w:sz w:val="25"/>
          <w:szCs w:val="25"/>
        </w:rPr>
        <w:t xml:space="preserve"> на рівні</w:t>
      </w:r>
      <w:r w:rsidR="00C737FB" w:rsidRPr="006D3B9D">
        <w:rPr>
          <w:sz w:val="25"/>
          <w:szCs w:val="25"/>
        </w:rPr>
        <w:t xml:space="preserve"> </w:t>
      </w:r>
      <w:r w:rsidRPr="006D3B9D">
        <w:rPr>
          <w:sz w:val="25"/>
          <w:szCs w:val="25"/>
        </w:rPr>
        <w:t xml:space="preserve">прожиткового мінімуму за 2020 рік не могли </w:t>
      </w:r>
      <w:r w:rsidR="007D6058" w:rsidRPr="006D3B9D">
        <w:rPr>
          <w:sz w:val="25"/>
          <w:szCs w:val="25"/>
        </w:rPr>
        <w:t>бути</w:t>
      </w:r>
      <w:r w:rsidRPr="006D3B9D">
        <w:rPr>
          <w:sz w:val="25"/>
          <w:szCs w:val="25"/>
        </w:rPr>
        <w:t xml:space="preserve"> менш</w:t>
      </w:r>
      <w:r w:rsidR="007D6058" w:rsidRPr="006D3B9D">
        <w:rPr>
          <w:sz w:val="25"/>
          <w:szCs w:val="25"/>
        </w:rPr>
        <w:t>ими</w:t>
      </w:r>
      <w:r w:rsidRPr="006D3B9D">
        <w:rPr>
          <w:sz w:val="25"/>
          <w:szCs w:val="25"/>
        </w:rPr>
        <w:t xml:space="preserve"> ніж 73</w:t>
      </w:r>
      <w:r w:rsidR="00C737FB" w:rsidRPr="006D3B9D">
        <w:rPr>
          <w:sz w:val="25"/>
          <w:szCs w:val="25"/>
        </w:rPr>
        <w:t> </w:t>
      </w:r>
      <w:r w:rsidRPr="006D3B9D">
        <w:rPr>
          <w:sz w:val="25"/>
          <w:szCs w:val="25"/>
        </w:rPr>
        <w:t>061 грн (2</w:t>
      </w:r>
      <w:r w:rsidR="00C737FB" w:rsidRPr="006D3B9D">
        <w:rPr>
          <w:sz w:val="25"/>
          <w:szCs w:val="25"/>
        </w:rPr>
        <w:t> </w:t>
      </w:r>
      <w:r w:rsidRPr="006D3B9D">
        <w:rPr>
          <w:sz w:val="25"/>
          <w:szCs w:val="25"/>
        </w:rPr>
        <w:t>102</w:t>
      </w:r>
      <w:r w:rsidR="00C737FB" w:rsidRPr="006D3B9D">
        <w:rPr>
          <w:sz w:val="25"/>
          <w:szCs w:val="25"/>
        </w:rPr>
        <w:t xml:space="preserve"> </w:t>
      </w:r>
      <w:r w:rsidRPr="006D3B9D">
        <w:rPr>
          <w:sz w:val="25"/>
          <w:szCs w:val="25"/>
        </w:rPr>
        <w:t>грн х 3</w:t>
      </w:r>
      <w:r w:rsidR="00221679" w:rsidRPr="006D3B9D">
        <w:rPr>
          <w:sz w:val="25"/>
          <w:szCs w:val="25"/>
        </w:rPr>
        <w:t> </w:t>
      </w:r>
      <w:r w:rsidR="006C51F6" w:rsidRPr="006D3B9D">
        <w:rPr>
          <w:sz w:val="25"/>
          <w:szCs w:val="25"/>
        </w:rPr>
        <w:t>особи</w:t>
      </w:r>
      <w:r w:rsidRPr="006D3B9D">
        <w:rPr>
          <w:sz w:val="25"/>
          <w:szCs w:val="25"/>
        </w:rPr>
        <w:t xml:space="preserve"> х 6 міс</w:t>
      </w:r>
      <w:r w:rsidR="000332E6" w:rsidRPr="006D3B9D">
        <w:rPr>
          <w:sz w:val="25"/>
          <w:szCs w:val="25"/>
        </w:rPr>
        <w:t>яців</w:t>
      </w:r>
      <w:r w:rsidRPr="006D3B9D">
        <w:rPr>
          <w:sz w:val="25"/>
          <w:szCs w:val="25"/>
        </w:rPr>
        <w:t xml:space="preserve"> = 37</w:t>
      </w:r>
      <w:r w:rsidR="006C51F6" w:rsidRPr="006D3B9D">
        <w:rPr>
          <w:sz w:val="25"/>
          <w:szCs w:val="25"/>
        </w:rPr>
        <w:t> </w:t>
      </w:r>
      <w:r w:rsidRPr="006D3B9D">
        <w:rPr>
          <w:sz w:val="25"/>
          <w:szCs w:val="25"/>
        </w:rPr>
        <w:t>836</w:t>
      </w:r>
      <w:r w:rsidR="006C51F6" w:rsidRPr="006D3B9D">
        <w:rPr>
          <w:sz w:val="25"/>
          <w:szCs w:val="25"/>
        </w:rPr>
        <w:t xml:space="preserve"> </w:t>
      </w:r>
      <w:r w:rsidRPr="006D3B9D">
        <w:rPr>
          <w:sz w:val="25"/>
          <w:szCs w:val="25"/>
        </w:rPr>
        <w:t xml:space="preserve">грн) + (2 197 грн х 3 </w:t>
      </w:r>
      <w:r w:rsidR="006C51F6" w:rsidRPr="006D3B9D">
        <w:rPr>
          <w:sz w:val="25"/>
          <w:szCs w:val="25"/>
        </w:rPr>
        <w:t>особи</w:t>
      </w:r>
      <w:r w:rsidRPr="006D3B9D">
        <w:rPr>
          <w:sz w:val="25"/>
          <w:szCs w:val="25"/>
        </w:rPr>
        <w:t xml:space="preserve"> х 5 міс</w:t>
      </w:r>
      <w:r w:rsidR="000332E6" w:rsidRPr="006D3B9D">
        <w:rPr>
          <w:sz w:val="25"/>
          <w:szCs w:val="25"/>
        </w:rPr>
        <w:t>яців</w:t>
      </w:r>
      <w:r w:rsidRPr="006D3B9D">
        <w:rPr>
          <w:sz w:val="25"/>
          <w:szCs w:val="25"/>
        </w:rPr>
        <w:t xml:space="preserve"> = 32</w:t>
      </w:r>
      <w:r w:rsidR="00C737FB" w:rsidRPr="006D3B9D">
        <w:rPr>
          <w:sz w:val="25"/>
          <w:szCs w:val="25"/>
        </w:rPr>
        <w:t> </w:t>
      </w:r>
      <w:r w:rsidRPr="006D3B9D">
        <w:rPr>
          <w:sz w:val="25"/>
          <w:szCs w:val="25"/>
        </w:rPr>
        <w:t>955 грн) + 2</w:t>
      </w:r>
      <w:r w:rsidR="00221679" w:rsidRPr="006D3B9D">
        <w:rPr>
          <w:sz w:val="25"/>
          <w:szCs w:val="25"/>
        </w:rPr>
        <w:t> </w:t>
      </w:r>
      <w:r w:rsidRPr="006D3B9D">
        <w:rPr>
          <w:sz w:val="25"/>
          <w:szCs w:val="25"/>
        </w:rPr>
        <w:t>270</w:t>
      </w:r>
      <w:r w:rsidR="00221679" w:rsidRPr="006D3B9D">
        <w:rPr>
          <w:sz w:val="25"/>
          <w:szCs w:val="25"/>
        </w:rPr>
        <w:t> </w:t>
      </w:r>
      <w:r w:rsidRPr="006D3B9D">
        <w:rPr>
          <w:sz w:val="25"/>
          <w:szCs w:val="25"/>
        </w:rPr>
        <w:t>грн)</w:t>
      </w:r>
      <w:r w:rsidR="00C737FB" w:rsidRPr="006D3B9D">
        <w:rPr>
          <w:sz w:val="25"/>
          <w:szCs w:val="25"/>
        </w:rPr>
        <w:t>.</w:t>
      </w:r>
    </w:p>
    <w:p w14:paraId="38A7D392" w14:textId="4AEFF8AE" w:rsidR="003E668D" w:rsidRPr="006D3B9D" w:rsidRDefault="0027655A" w:rsidP="003E668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Залишок коштів у 2020 році від загального грошового доходу </w:t>
      </w:r>
      <w:r w:rsidR="00C737FB" w:rsidRPr="006D3B9D">
        <w:rPr>
          <w:sz w:val="25"/>
          <w:szCs w:val="25"/>
        </w:rPr>
        <w:t>сім’ї</w:t>
      </w:r>
      <w:r w:rsidRPr="006D3B9D">
        <w:rPr>
          <w:sz w:val="25"/>
          <w:szCs w:val="25"/>
        </w:rPr>
        <w:t xml:space="preserve"> після виключення витрат</w:t>
      </w:r>
      <w:r w:rsidR="00C737FB" w:rsidRPr="006D3B9D">
        <w:rPr>
          <w:sz w:val="25"/>
          <w:szCs w:val="25"/>
        </w:rPr>
        <w:t xml:space="preserve"> </w:t>
      </w:r>
      <w:r w:rsidRPr="006D3B9D">
        <w:rPr>
          <w:sz w:val="25"/>
          <w:szCs w:val="25"/>
        </w:rPr>
        <w:t xml:space="preserve">на забезпечення базових потреб </w:t>
      </w:r>
      <w:r w:rsidR="00C737FB" w:rsidRPr="006D3B9D">
        <w:rPr>
          <w:sz w:val="25"/>
          <w:szCs w:val="25"/>
        </w:rPr>
        <w:t>сім’ї</w:t>
      </w:r>
      <w:r w:rsidRPr="006D3B9D">
        <w:rPr>
          <w:sz w:val="25"/>
          <w:szCs w:val="25"/>
        </w:rPr>
        <w:t xml:space="preserve"> с</w:t>
      </w:r>
      <w:r w:rsidR="00C737FB" w:rsidRPr="006D3B9D">
        <w:rPr>
          <w:sz w:val="25"/>
          <w:szCs w:val="25"/>
        </w:rPr>
        <w:t>тановив</w:t>
      </w:r>
      <w:r w:rsidRPr="006D3B9D">
        <w:rPr>
          <w:sz w:val="25"/>
          <w:szCs w:val="25"/>
        </w:rPr>
        <w:t xml:space="preserve"> 551</w:t>
      </w:r>
      <w:r w:rsidR="00C737FB" w:rsidRPr="006D3B9D">
        <w:rPr>
          <w:sz w:val="25"/>
          <w:szCs w:val="25"/>
        </w:rPr>
        <w:t> </w:t>
      </w:r>
      <w:r w:rsidRPr="006D3B9D">
        <w:rPr>
          <w:sz w:val="25"/>
          <w:szCs w:val="25"/>
        </w:rPr>
        <w:t>793</w:t>
      </w:r>
      <w:r w:rsidR="00C737FB" w:rsidRPr="006D3B9D">
        <w:rPr>
          <w:sz w:val="25"/>
          <w:szCs w:val="25"/>
        </w:rPr>
        <w:t xml:space="preserve"> </w:t>
      </w:r>
      <w:r w:rsidRPr="006D3B9D">
        <w:rPr>
          <w:sz w:val="25"/>
          <w:szCs w:val="25"/>
        </w:rPr>
        <w:t>грн (624</w:t>
      </w:r>
      <w:r w:rsidR="00C737FB" w:rsidRPr="006D3B9D">
        <w:rPr>
          <w:sz w:val="25"/>
          <w:szCs w:val="25"/>
        </w:rPr>
        <w:t> </w:t>
      </w:r>
      <w:r w:rsidRPr="006D3B9D">
        <w:rPr>
          <w:sz w:val="25"/>
          <w:szCs w:val="25"/>
        </w:rPr>
        <w:t>800</w:t>
      </w:r>
      <w:r w:rsidR="00C737FB" w:rsidRPr="006D3B9D">
        <w:rPr>
          <w:sz w:val="25"/>
          <w:szCs w:val="25"/>
        </w:rPr>
        <w:t> </w:t>
      </w:r>
      <w:r w:rsidRPr="006D3B9D">
        <w:rPr>
          <w:sz w:val="25"/>
          <w:szCs w:val="25"/>
        </w:rPr>
        <w:t>грн — 73</w:t>
      </w:r>
      <w:r w:rsidR="00C737FB" w:rsidRPr="006D3B9D">
        <w:rPr>
          <w:sz w:val="25"/>
          <w:szCs w:val="25"/>
        </w:rPr>
        <w:t> </w:t>
      </w:r>
      <w:r w:rsidRPr="006D3B9D">
        <w:rPr>
          <w:sz w:val="25"/>
          <w:szCs w:val="25"/>
        </w:rPr>
        <w:t>061 грн).</w:t>
      </w:r>
    </w:p>
    <w:p w14:paraId="0AF0ABC2" w14:textId="00890B51" w:rsidR="003E668D" w:rsidRPr="006D3B9D" w:rsidRDefault="0027655A" w:rsidP="003E668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2020 році </w:t>
      </w:r>
      <w:r w:rsidR="000332E6" w:rsidRPr="006D3B9D">
        <w:rPr>
          <w:sz w:val="25"/>
          <w:szCs w:val="25"/>
        </w:rPr>
        <w:t>в</w:t>
      </w:r>
      <w:r w:rsidRPr="006D3B9D">
        <w:rPr>
          <w:sz w:val="25"/>
          <w:szCs w:val="25"/>
        </w:rPr>
        <w:t xml:space="preserve"> розпорядженні </w:t>
      </w:r>
      <w:r w:rsidR="003E668D" w:rsidRPr="006D3B9D">
        <w:rPr>
          <w:sz w:val="25"/>
          <w:szCs w:val="25"/>
        </w:rPr>
        <w:t>сім’ї</w:t>
      </w:r>
      <w:r w:rsidRPr="006D3B9D">
        <w:rPr>
          <w:sz w:val="25"/>
          <w:szCs w:val="25"/>
        </w:rPr>
        <w:t xml:space="preserve"> кандидатки була сума грошових коштів не більш</w:t>
      </w:r>
      <w:r w:rsidR="000332E6" w:rsidRPr="006D3B9D">
        <w:rPr>
          <w:sz w:val="25"/>
          <w:szCs w:val="25"/>
        </w:rPr>
        <w:t>а</w:t>
      </w:r>
      <w:r w:rsidRPr="006D3B9D">
        <w:rPr>
          <w:sz w:val="25"/>
          <w:szCs w:val="25"/>
        </w:rPr>
        <w:t xml:space="preserve"> ніж</w:t>
      </w:r>
      <w:r w:rsidR="003E668D" w:rsidRPr="006D3B9D">
        <w:rPr>
          <w:sz w:val="25"/>
          <w:szCs w:val="25"/>
        </w:rPr>
        <w:t xml:space="preserve"> </w:t>
      </w:r>
      <w:r w:rsidRPr="006D3B9D">
        <w:rPr>
          <w:sz w:val="25"/>
          <w:szCs w:val="25"/>
        </w:rPr>
        <w:t>703</w:t>
      </w:r>
      <w:r w:rsidR="003E668D" w:rsidRPr="006D3B9D">
        <w:rPr>
          <w:sz w:val="25"/>
          <w:szCs w:val="25"/>
        </w:rPr>
        <w:t> </w:t>
      </w:r>
      <w:r w:rsidRPr="006D3B9D">
        <w:rPr>
          <w:sz w:val="25"/>
          <w:szCs w:val="25"/>
        </w:rPr>
        <w:t>277,41 грн (551</w:t>
      </w:r>
      <w:r w:rsidR="003E668D" w:rsidRPr="006D3B9D">
        <w:rPr>
          <w:sz w:val="25"/>
          <w:szCs w:val="25"/>
        </w:rPr>
        <w:t> </w:t>
      </w:r>
      <w:r w:rsidRPr="006D3B9D">
        <w:rPr>
          <w:sz w:val="25"/>
          <w:szCs w:val="25"/>
        </w:rPr>
        <w:t xml:space="preserve">793 грн, грошовий дохід </w:t>
      </w:r>
      <w:r w:rsidR="000332E6" w:rsidRPr="006D3B9D">
        <w:rPr>
          <w:sz w:val="25"/>
          <w:szCs w:val="25"/>
        </w:rPr>
        <w:t>у</w:t>
      </w:r>
      <w:r w:rsidRPr="006D3B9D">
        <w:rPr>
          <w:sz w:val="25"/>
          <w:szCs w:val="25"/>
        </w:rPr>
        <w:t xml:space="preserve"> 2020 році після покриття мінімальних базових</w:t>
      </w:r>
      <w:r w:rsidR="003E668D" w:rsidRPr="006D3B9D">
        <w:rPr>
          <w:sz w:val="25"/>
          <w:szCs w:val="25"/>
        </w:rPr>
        <w:t xml:space="preserve"> </w:t>
      </w:r>
      <w:r w:rsidRPr="006D3B9D">
        <w:rPr>
          <w:sz w:val="25"/>
          <w:szCs w:val="25"/>
        </w:rPr>
        <w:t xml:space="preserve">потреб </w:t>
      </w:r>
      <w:r w:rsidR="003E668D" w:rsidRPr="006D3B9D">
        <w:rPr>
          <w:sz w:val="25"/>
          <w:szCs w:val="25"/>
        </w:rPr>
        <w:t>сім’ї</w:t>
      </w:r>
      <w:r w:rsidRPr="006D3B9D">
        <w:rPr>
          <w:sz w:val="25"/>
          <w:szCs w:val="25"/>
        </w:rPr>
        <w:t xml:space="preserve"> + 151</w:t>
      </w:r>
      <w:r w:rsidR="006C51F6" w:rsidRPr="006D3B9D">
        <w:rPr>
          <w:sz w:val="25"/>
          <w:szCs w:val="25"/>
        </w:rPr>
        <w:t> </w:t>
      </w:r>
      <w:r w:rsidRPr="006D3B9D">
        <w:rPr>
          <w:sz w:val="25"/>
          <w:szCs w:val="25"/>
        </w:rPr>
        <w:t>484, 41 грн накопичення від грошового доходу у 2019 році після покриття</w:t>
      </w:r>
      <w:r w:rsidR="003E668D" w:rsidRPr="006D3B9D">
        <w:rPr>
          <w:sz w:val="25"/>
          <w:szCs w:val="25"/>
        </w:rPr>
        <w:t xml:space="preserve"> </w:t>
      </w:r>
      <w:r w:rsidRPr="006D3B9D">
        <w:rPr>
          <w:sz w:val="25"/>
          <w:szCs w:val="25"/>
        </w:rPr>
        <w:t xml:space="preserve">базових мінімальних потреб </w:t>
      </w:r>
      <w:r w:rsidR="003E668D" w:rsidRPr="006D3B9D">
        <w:rPr>
          <w:sz w:val="25"/>
          <w:szCs w:val="25"/>
        </w:rPr>
        <w:t>сім’ї</w:t>
      </w:r>
      <w:r w:rsidRPr="006D3B9D">
        <w:rPr>
          <w:sz w:val="25"/>
          <w:szCs w:val="25"/>
        </w:rPr>
        <w:t xml:space="preserve"> у 2019 році та здійснення витрат на придбання та розмитнення</w:t>
      </w:r>
      <w:r w:rsidR="003E668D" w:rsidRPr="006D3B9D">
        <w:rPr>
          <w:sz w:val="25"/>
          <w:szCs w:val="25"/>
        </w:rPr>
        <w:t xml:space="preserve"> </w:t>
      </w:r>
      <w:r w:rsidRPr="006D3B9D">
        <w:rPr>
          <w:sz w:val="25"/>
          <w:szCs w:val="25"/>
        </w:rPr>
        <w:t xml:space="preserve">автомобіля </w:t>
      </w:r>
      <w:r w:rsidR="003E668D" w:rsidRPr="006D3B9D">
        <w:rPr>
          <w:sz w:val="25"/>
          <w:szCs w:val="25"/>
        </w:rPr>
        <w:t>марки «</w:t>
      </w:r>
      <w:r w:rsidRPr="006D3B9D">
        <w:rPr>
          <w:sz w:val="25"/>
          <w:szCs w:val="25"/>
        </w:rPr>
        <w:t>FORD FUSION</w:t>
      </w:r>
      <w:r w:rsidR="003E668D" w:rsidRPr="006D3B9D">
        <w:rPr>
          <w:sz w:val="25"/>
          <w:szCs w:val="25"/>
        </w:rPr>
        <w:t>»</w:t>
      </w:r>
      <w:r w:rsidRPr="006D3B9D">
        <w:rPr>
          <w:sz w:val="25"/>
          <w:szCs w:val="25"/>
        </w:rPr>
        <w:t xml:space="preserve">). </w:t>
      </w:r>
      <w:r w:rsidR="000332E6" w:rsidRPr="006D3B9D">
        <w:rPr>
          <w:sz w:val="25"/>
          <w:szCs w:val="25"/>
        </w:rPr>
        <w:t>У</w:t>
      </w:r>
      <w:r w:rsidRPr="006D3B9D">
        <w:rPr>
          <w:sz w:val="25"/>
          <w:szCs w:val="25"/>
        </w:rPr>
        <w:t xml:space="preserve">казаний розмір коштів дозволяв </w:t>
      </w:r>
      <w:r w:rsidR="006C51F6" w:rsidRPr="006D3B9D">
        <w:rPr>
          <w:sz w:val="25"/>
          <w:szCs w:val="25"/>
        </w:rPr>
        <w:t>здійснити</w:t>
      </w:r>
      <w:r w:rsidRPr="006D3B9D">
        <w:rPr>
          <w:sz w:val="25"/>
          <w:szCs w:val="25"/>
        </w:rPr>
        <w:t xml:space="preserve"> ви</w:t>
      </w:r>
      <w:r w:rsidR="006C51F6" w:rsidRPr="006D3B9D">
        <w:rPr>
          <w:sz w:val="25"/>
          <w:szCs w:val="25"/>
        </w:rPr>
        <w:t>датки</w:t>
      </w:r>
      <w:r w:rsidRPr="006D3B9D">
        <w:rPr>
          <w:sz w:val="25"/>
          <w:szCs w:val="25"/>
        </w:rPr>
        <w:t xml:space="preserve"> </w:t>
      </w:r>
      <w:r w:rsidR="003E668D" w:rsidRPr="006D3B9D">
        <w:rPr>
          <w:sz w:val="25"/>
          <w:szCs w:val="25"/>
        </w:rPr>
        <w:t xml:space="preserve">для </w:t>
      </w:r>
      <w:r w:rsidRPr="006D3B9D">
        <w:rPr>
          <w:sz w:val="25"/>
          <w:szCs w:val="25"/>
        </w:rPr>
        <w:t xml:space="preserve">придбання автомобіля </w:t>
      </w:r>
      <w:r w:rsidR="003E668D" w:rsidRPr="006D3B9D">
        <w:rPr>
          <w:sz w:val="25"/>
          <w:szCs w:val="25"/>
        </w:rPr>
        <w:t>марки «</w:t>
      </w:r>
      <w:r w:rsidRPr="006D3B9D">
        <w:rPr>
          <w:sz w:val="25"/>
          <w:szCs w:val="25"/>
        </w:rPr>
        <w:t>VOLKSWAGEN TIGUAN</w:t>
      </w:r>
      <w:r w:rsidR="003E668D" w:rsidRPr="006D3B9D">
        <w:rPr>
          <w:sz w:val="25"/>
          <w:szCs w:val="25"/>
        </w:rPr>
        <w:t>»</w:t>
      </w:r>
      <w:r w:rsidRPr="006D3B9D">
        <w:rPr>
          <w:sz w:val="25"/>
          <w:szCs w:val="25"/>
        </w:rPr>
        <w:t xml:space="preserve"> 2018 р</w:t>
      </w:r>
      <w:r w:rsidR="003E668D" w:rsidRPr="006D3B9D">
        <w:rPr>
          <w:sz w:val="25"/>
          <w:szCs w:val="25"/>
        </w:rPr>
        <w:t>оку</w:t>
      </w:r>
      <w:r w:rsidRPr="006D3B9D">
        <w:rPr>
          <w:sz w:val="25"/>
          <w:szCs w:val="25"/>
        </w:rPr>
        <w:t xml:space="preserve"> в</w:t>
      </w:r>
      <w:r w:rsidR="003E668D" w:rsidRPr="006D3B9D">
        <w:rPr>
          <w:sz w:val="25"/>
          <w:szCs w:val="25"/>
        </w:rPr>
        <w:t>ипуску</w:t>
      </w:r>
      <w:r w:rsidRPr="006D3B9D">
        <w:rPr>
          <w:sz w:val="25"/>
          <w:szCs w:val="25"/>
        </w:rPr>
        <w:t xml:space="preserve"> за ціною 377</w:t>
      </w:r>
      <w:r w:rsidR="003E668D" w:rsidRPr="006D3B9D">
        <w:rPr>
          <w:sz w:val="25"/>
          <w:szCs w:val="25"/>
        </w:rPr>
        <w:t> </w:t>
      </w:r>
      <w:r w:rsidRPr="006D3B9D">
        <w:rPr>
          <w:sz w:val="25"/>
          <w:szCs w:val="25"/>
        </w:rPr>
        <w:t>745,91 грн (жовтень 2020</w:t>
      </w:r>
      <w:r w:rsidR="00221679" w:rsidRPr="006D3B9D">
        <w:rPr>
          <w:sz w:val="25"/>
          <w:szCs w:val="25"/>
        </w:rPr>
        <w:t> </w:t>
      </w:r>
      <w:r w:rsidRPr="006D3B9D">
        <w:rPr>
          <w:sz w:val="25"/>
          <w:szCs w:val="25"/>
        </w:rPr>
        <w:t xml:space="preserve">року). Витрати </w:t>
      </w:r>
      <w:r w:rsidR="000332E6" w:rsidRPr="006D3B9D">
        <w:rPr>
          <w:sz w:val="25"/>
          <w:szCs w:val="25"/>
        </w:rPr>
        <w:t>на</w:t>
      </w:r>
      <w:r w:rsidRPr="006D3B9D">
        <w:rPr>
          <w:sz w:val="25"/>
          <w:szCs w:val="25"/>
        </w:rPr>
        <w:t xml:space="preserve"> розмитнення </w:t>
      </w:r>
      <w:r w:rsidR="000332E6" w:rsidRPr="006D3B9D">
        <w:rPr>
          <w:sz w:val="25"/>
          <w:szCs w:val="25"/>
        </w:rPr>
        <w:t>цього</w:t>
      </w:r>
      <w:r w:rsidR="003E668D" w:rsidRPr="006D3B9D">
        <w:rPr>
          <w:sz w:val="25"/>
          <w:szCs w:val="25"/>
        </w:rPr>
        <w:t xml:space="preserve"> </w:t>
      </w:r>
      <w:r w:rsidRPr="006D3B9D">
        <w:rPr>
          <w:sz w:val="25"/>
          <w:szCs w:val="25"/>
        </w:rPr>
        <w:t xml:space="preserve">автомобіля </w:t>
      </w:r>
      <w:r w:rsidR="003E668D" w:rsidRPr="006D3B9D">
        <w:rPr>
          <w:sz w:val="25"/>
          <w:szCs w:val="25"/>
        </w:rPr>
        <w:t>в розмірі</w:t>
      </w:r>
      <w:r w:rsidRPr="006D3B9D">
        <w:rPr>
          <w:sz w:val="25"/>
          <w:szCs w:val="25"/>
        </w:rPr>
        <w:t xml:space="preserve"> 130</w:t>
      </w:r>
      <w:r w:rsidR="003E668D" w:rsidRPr="006D3B9D">
        <w:rPr>
          <w:sz w:val="25"/>
          <w:szCs w:val="25"/>
        </w:rPr>
        <w:t> </w:t>
      </w:r>
      <w:r w:rsidRPr="006D3B9D">
        <w:rPr>
          <w:sz w:val="25"/>
          <w:szCs w:val="25"/>
        </w:rPr>
        <w:t>000 грн здійснен</w:t>
      </w:r>
      <w:r w:rsidR="000332E6" w:rsidRPr="006D3B9D">
        <w:rPr>
          <w:sz w:val="25"/>
          <w:szCs w:val="25"/>
        </w:rPr>
        <w:t>о</w:t>
      </w:r>
      <w:r w:rsidRPr="006D3B9D">
        <w:rPr>
          <w:sz w:val="25"/>
          <w:szCs w:val="25"/>
        </w:rPr>
        <w:t xml:space="preserve"> у травні 2021 року.</w:t>
      </w:r>
    </w:p>
    <w:p w14:paraId="65006DB6" w14:textId="34E16EE6" w:rsidR="003E668D" w:rsidRPr="006D3B9D" w:rsidRDefault="0027655A" w:rsidP="003E668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Після виключення сум на забезпечення мінімальних базових потреб </w:t>
      </w:r>
      <w:r w:rsidR="003E668D" w:rsidRPr="006D3B9D">
        <w:rPr>
          <w:sz w:val="25"/>
          <w:szCs w:val="25"/>
        </w:rPr>
        <w:t>сім’ї</w:t>
      </w:r>
      <w:r w:rsidRPr="006D3B9D">
        <w:rPr>
          <w:sz w:val="25"/>
          <w:szCs w:val="25"/>
        </w:rPr>
        <w:t xml:space="preserve"> загальний розмір</w:t>
      </w:r>
      <w:r w:rsidR="003E668D" w:rsidRPr="006D3B9D">
        <w:rPr>
          <w:sz w:val="25"/>
          <w:szCs w:val="25"/>
        </w:rPr>
        <w:t xml:space="preserve"> </w:t>
      </w:r>
      <w:r w:rsidRPr="006D3B9D">
        <w:rPr>
          <w:sz w:val="25"/>
          <w:szCs w:val="25"/>
        </w:rPr>
        <w:t xml:space="preserve">грошових надходжень </w:t>
      </w:r>
      <w:r w:rsidR="003E668D" w:rsidRPr="006D3B9D">
        <w:rPr>
          <w:sz w:val="25"/>
          <w:szCs w:val="25"/>
        </w:rPr>
        <w:t>сім’ї</w:t>
      </w:r>
      <w:r w:rsidRPr="006D3B9D">
        <w:rPr>
          <w:sz w:val="25"/>
          <w:szCs w:val="25"/>
        </w:rPr>
        <w:t xml:space="preserve"> кандидатки у 2019</w:t>
      </w:r>
      <w:r w:rsidR="000332E6" w:rsidRPr="006D3B9D">
        <w:rPr>
          <w:sz w:val="25"/>
          <w:szCs w:val="25"/>
        </w:rPr>
        <w:t>—</w:t>
      </w:r>
      <w:r w:rsidRPr="006D3B9D">
        <w:rPr>
          <w:sz w:val="25"/>
          <w:szCs w:val="25"/>
        </w:rPr>
        <w:t>2020 роках с</w:t>
      </w:r>
      <w:r w:rsidR="003E668D" w:rsidRPr="006D3B9D">
        <w:rPr>
          <w:sz w:val="25"/>
          <w:szCs w:val="25"/>
        </w:rPr>
        <w:t>тановив</w:t>
      </w:r>
      <w:r w:rsidRPr="006D3B9D">
        <w:rPr>
          <w:sz w:val="25"/>
          <w:szCs w:val="25"/>
        </w:rPr>
        <w:t xml:space="preserve"> 868</w:t>
      </w:r>
      <w:r w:rsidR="003E668D" w:rsidRPr="006D3B9D">
        <w:rPr>
          <w:sz w:val="25"/>
          <w:szCs w:val="25"/>
        </w:rPr>
        <w:t> </w:t>
      </w:r>
      <w:r w:rsidRPr="006D3B9D">
        <w:rPr>
          <w:sz w:val="25"/>
          <w:szCs w:val="25"/>
        </w:rPr>
        <w:t>141,46 грн:</w:t>
      </w:r>
      <w:r w:rsidR="003E668D" w:rsidRPr="006D3B9D">
        <w:rPr>
          <w:sz w:val="25"/>
          <w:szCs w:val="25"/>
        </w:rPr>
        <w:t xml:space="preserve"> </w:t>
      </w:r>
      <w:r w:rsidRPr="006D3B9D">
        <w:rPr>
          <w:sz w:val="25"/>
          <w:szCs w:val="25"/>
        </w:rPr>
        <w:t>316</w:t>
      </w:r>
      <w:r w:rsidR="006C51F6" w:rsidRPr="006D3B9D">
        <w:rPr>
          <w:sz w:val="25"/>
          <w:szCs w:val="25"/>
        </w:rPr>
        <w:t> </w:t>
      </w:r>
      <w:r w:rsidRPr="006D3B9D">
        <w:rPr>
          <w:sz w:val="25"/>
          <w:szCs w:val="25"/>
        </w:rPr>
        <w:t>348, 46 грн (2019</w:t>
      </w:r>
      <w:r w:rsidR="006C51F6" w:rsidRPr="006D3B9D">
        <w:rPr>
          <w:sz w:val="25"/>
          <w:szCs w:val="25"/>
        </w:rPr>
        <w:t xml:space="preserve"> рік</w:t>
      </w:r>
      <w:r w:rsidRPr="006D3B9D">
        <w:rPr>
          <w:sz w:val="25"/>
          <w:szCs w:val="25"/>
        </w:rPr>
        <w:t>)</w:t>
      </w:r>
      <w:r w:rsidR="003E668D" w:rsidRPr="006D3B9D">
        <w:rPr>
          <w:sz w:val="25"/>
          <w:szCs w:val="25"/>
        </w:rPr>
        <w:t xml:space="preserve">, </w:t>
      </w:r>
      <w:r w:rsidRPr="006D3B9D">
        <w:rPr>
          <w:sz w:val="25"/>
          <w:szCs w:val="25"/>
        </w:rPr>
        <w:t>551</w:t>
      </w:r>
      <w:r w:rsidR="006C51F6" w:rsidRPr="006D3B9D">
        <w:rPr>
          <w:sz w:val="25"/>
          <w:szCs w:val="25"/>
        </w:rPr>
        <w:t> </w:t>
      </w:r>
      <w:r w:rsidRPr="006D3B9D">
        <w:rPr>
          <w:sz w:val="25"/>
          <w:szCs w:val="25"/>
        </w:rPr>
        <w:t>793 грн (2020</w:t>
      </w:r>
      <w:r w:rsidR="006C51F6" w:rsidRPr="006D3B9D">
        <w:rPr>
          <w:sz w:val="25"/>
          <w:szCs w:val="25"/>
        </w:rPr>
        <w:t xml:space="preserve"> рік</w:t>
      </w:r>
      <w:r w:rsidRPr="006D3B9D">
        <w:rPr>
          <w:sz w:val="25"/>
          <w:szCs w:val="25"/>
        </w:rPr>
        <w:t>)</w:t>
      </w:r>
      <w:r w:rsidR="003E668D" w:rsidRPr="006D3B9D">
        <w:rPr>
          <w:sz w:val="25"/>
          <w:szCs w:val="25"/>
        </w:rPr>
        <w:t>.</w:t>
      </w:r>
    </w:p>
    <w:p w14:paraId="6BEF83BE" w14:textId="690400F5" w:rsidR="003E668D" w:rsidRPr="006D3B9D" w:rsidRDefault="0027655A" w:rsidP="003E668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Витрати</w:t>
      </w:r>
      <w:r w:rsidR="000332E6" w:rsidRPr="006D3B9D">
        <w:rPr>
          <w:sz w:val="25"/>
          <w:szCs w:val="25"/>
        </w:rPr>
        <w:t>,</w:t>
      </w:r>
      <w:r w:rsidRPr="006D3B9D">
        <w:rPr>
          <w:sz w:val="25"/>
          <w:szCs w:val="25"/>
        </w:rPr>
        <w:t xml:space="preserve"> здійснені у 2020 році (</w:t>
      </w:r>
      <w:r w:rsidR="000332E6" w:rsidRPr="006D3B9D">
        <w:rPr>
          <w:sz w:val="25"/>
          <w:szCs w:val="25"/>
        </w:rPr>
        <w:t>у</w:t>
      </w:r>
      <w:r w:rsidRPr="006D3B9D">
        <w:rPr>
          <w:sz w:val="25"/>
          <w:szCs w:val="25"/>
        </w:rPr>
        <w:t xml:space="preserve"> тому числі за рахунок заощаджень від грошового доходу,</w:t>
      </w:r>
      <w:r w:rsidR="003E668D" w:rsidRPr="006D3B9D">
        <w:rPr>
          <w:sz w:val="25"/>
          <w:szCs w:val="25"/>
        </w:rPr>
        <w:t xml:space="preserve"> </w:t>
      </w:r>
      <w:r w:rsidRPr="006D3B9D">
        <w:rPr>
          <w:sz w:val="25"/>
          <w:szCs w:val="25"/>
        </w:rPr>
        <w:t>отриманого у 2019 році)</w:t>
      </w:r>
      <w:r w:rsidR="000332E6" w:rsidRPr="006D3B9D">
        <w:rPr>
          <w:sz w:val="25"/>
          <w:szCs w:val="25"/>
        </w:rPr>
        <w:t>,</w:t>
      </w:r>
      <w:r w:rsidRPr="006D3B9D">
        <w:rPr>
          <w:sz w:val="25"/>
          <w:szCs w:val="25"/>
        </w:rPr>
        <w:t xml:space="preserve"> с</w:t>
      </w:r>
      <w:r w:rsidR="003E668D" w:rsidRPr="006D3B9D">
        <w:rPr>
          <w:sz w:val="25"/>
          <w:szCs w:val="25"/>
        </w:rPr>
        <w:t>тановили</w:t>
      </w:r>
      <w:r w:rsidRPr="006D3B9D">
        <w:rPr>
          <w:sz w:val="25"/>
          <w:szCs w:val="25"/>
        </w:rPr>
        <w:t xml:space="preserve"> 542</w:t>
      </w:r>
      <w:r w:rsidR="006C51F6" w:rsidRPr="006D3B9D">
        <w:rPr>
          <w:sz w:val="25"/>
          <w:szCs w:val="25"/>
        </w:rPr>
        <w:t xml:space="preserve"> </w:t>
      </w:r>
      <w:r w:rsidRPr="006D3B9D">
        <w:rPr>
          <w:sz w:val="25"/>
          <w:szCs w:val="25"/>
        </w:rPr>
        <w:t>609,96 гр</w:t>
      </w:r>
      <w:r w:rsidR="006C51F6" w:rsidRPr="006D3B9D">
        <w:rPr>
          <w:sz w:val="25"/>
          <w:szCs w:val="25"/>
        </w:rPr>
        <w:t>н</w:t>
      </w:r>
      <w:r w:rsidRPr="006D3B9D">
        <w:rPr>
          <w:sz w:val="25"/>
          <w:szCs w:val="25"/>
        </w:rPr>
        <w:t>:120</w:t>
      </w:r>
      <w:r w:rsidR="006C51F6" w:rsidRPr="006D3B9D">
        <w:rPr>
          <w:sz w:val="25"/>
          <w:szCs w:val="25"/>
        </w:rPr>
        <w:t> </w:t>
      </w:r>
      <w:r w:rsidRPr="006D3B9D">
        <w:rPr>
          <w:sz w:val="25"/>
          <w:szCs w:val="25"/>
        </w:rPr>
        <w:t>538,05</w:t>
      </w:r>
      <w:r w:rsidR="006C51F6" w:rsidRPr="006D3B9D">
        <w:rPr>
          <w:sz w:val="25"/>
          <w:szCs w:val="25"/>
        </w:rPr>
        <w:t> грн</w:t>
      </w:r>
      <w:r w:rsidRPr="006D3B9D">
        <w:rPr>
          <w:sz w:val="25"/>
          <w:szCs w:val="25"/>
        </w:rPr>
        <w:t xml:space="preserve"> (</w:t>
      </w:r>
      <w:r w:rsidR="006C51F6" w:rsidRPr="006D3B9D">
        <w:rPr>
          <w:sz w:val="25"/>
          <w:szCs w:val="25"/>
        </w:rPr>
        <w:t>вартість</w:t>
      </w:r>
      <w:r w:rsidRPr="006D3B9D">
        <w:rPr>
          <w:sz w:val="25"/>
          <w:szCs w:val="25"/>
        </w:rPr>
        <w:t xml:space="preserve"> придбання </w:t>
      </w:r>
      <w:r w:rsidR="003E668D" w:rsidRPr="006D3B9D">
        <w:rPr>
          <w:sz w:val="25"/>
          <w:szCs w:val="25"/>
        </w:rPr>
        <w:t>автомобіля марки «</w:t>
      </w:r>
      <w:r w:rsidRPr="006D3B9D">
        <w:rPr>
          <w:sz w:val="25"/>
          <w:szCs w:val="25"/>
        </w:rPr>
        <w:t>FORD FUSION</w:t>
      </w:r>
      <w:r w:rsidR="003E668D" w:rsidRPr="006D3B9D">
        <w:rPr>
          <w:sz w:val="25"/>
          <w:szCs w:val="25"/>
        </w:rPr>
        <w:t>»</w:t>
      </w:r>
      <w:r w:rsidRPr="006D3B9D">
        <w:rPr>
          <w:sz w:val="25"/>
          <w:szCs w:val="25"/>
        </w:rPr>
        <w:t>)</w:t>
      </w:r>
      <w:r w:rsidR="003E668D" w:rsidRPr="006D3B9D">
        <w:rPr>
          <w:sz w:val="25"/>
          <w:szCs w:val="25"/>
        </w:rPr>
        <w:t xml:space="preserve">, </w:t>
      </w:r>
      <w:r w:rsidRPr="006D3B9D">
        <w:rPr>
          <w:sz w:val="25"/>
          <w:szCs w:val="25"/>
        </w:rPr>
        <w:t>44</w:t>
      </w:r>
      <w:r w:rsidR="003E668D" w:rsidRPr="006D3B9D">
        <w:rPr>
          <w:sz w:val="25"/>
          <w:szCs w:val="25"/>
        </w:rPr>
        <w:t> </w:t>
      </w:r>
      <w:r w:rsidRPr="006D3B9D">
        <w:rPr>
          <w:sz w:val="25"/>
          <w:szCs w:val="25"/>
        </w:rPr>
        <w:t>326</w:t>
      </w:r>
      <w:r w:rsidR="003E668D" w:rsidRPr="006D3B9D">
        <w:rPr>
          <w:sz w:val="25"/>
          <w:szCs w:val="25"/>
        </w:rPr>
        <w:t xml:space="preserve"> </w:t>
      </w:r>
      <w:r w:rsidRPr="006D3B9D">
        <w:rPr>
          <w:sz w:val="25"/>
          <w:szCs w:val="25"/>
        </w:rPr>
        <w:t xml:space="preserve">грн (вартість розмитнення </w:t>
      </w:r>
      <w:r w:rsidR="003E668D" w:rsidRPr="006D3B9D">
        <w:rPr>
          <w:sz w:val="25"/>
          <w:szCs w:val="25"/>
        </w:rPr>
        <w:t>автомобіля марки «</w:t>
      </w:r>
      <w:r w:rsidRPr="006D3B9D">
        <w:rPr>
          <w:sz w:val="25"/>
          <w:szCs w:val="25"/>
        </w:rPr>
        <w:t>FORD FUSION</w:t>
      </w:r>
      <w:r w:rsidR="003E668D" w:rsidRPr="006D3B9D">
        <w:rPr>
          <w:sz w:val="25"/>
          <w:szCs w:val="25"/>
        </w:rPr>
        <w:t>»</w:t>
      </w:r>
      <w:r w:rsidRPr="006D3B9D">
        <w:rPr>
          <w:sz w:val="25"/>
          <w:szCs w:val="25"/>
        </w:rPr>
        <w:t>)</w:t>
      </w:r>
      <w:r w:rsidR="003E668D" w:rsidRPr="006D3B9D">
        <w:rPr>
          <w:sz w:val="25"/>
          <w:szCs w:val="25"/>
        </w:rPr>
        <w:t xml:space="preserve">, </w:t>
      </w:r>
      <w:r w:rsidRPr="006D3B9D">
        <w:rPr>
          <w:sz w:val="25"/>
          <w:szCs w:val="25"/>
        </w:rPr>
        <w:t>377</w:t>
      </w:r>
      <w:r w:rsidR="006C51F6" w:rsidRPr="006D3B9D">
        <w:rPr>
          <w:sz w:val="25"/>
          <w:szCs w:val="25"/>
        </w:rPr>
        <w:t> </w:t>
      </w:r>
      <w:r w:rsidRPr="006D3B9D">
        <w:rPr>
          <w:sz w:val="25"/>
          <w:szCs w:val="25"/>
        </w:rPr>
        <w:t>745,91 грн (</w:t>
      </w:r>
      <w:r w:rsidR="006C51F6" w:rsidRPr="006D3B9D">
        <w:rPr>
          <w:sz w:val="25"/>
          <w:szCs w:val="25"/>
        </w:rPr>
        <w:t>вартість</w:t>
      </w:r>
      <w:r w:rsidRPr="006D3B9D">
        <w:rPr>
          <w:sz w:val="25"/>
          <w:szCs w:val="25"/>
        </w:rPr>
        <w:t xml:space="preserve"> придбання </w:t>
      </w:r>
      <w:r w:rsidR="003E668D" w:rsidRPr="006D3B9D">
        <w:rPr>
          <w:sz w:val="25"/>
          <w:szCs w:val="25"/>
        </w:rPr>
        <w:t>автомобіля марки «</w:t>
      </w:r>
      <w:r w:rsidRPr="006D3B9D">
        <w:rPr>
          <w:sz w:val="25"/>
          <w:szCs w:val="25"/>
        </w:rPr>
        <w:t>VOLKSWAGEN TIGUAN</w:t>
      </w:r>
      <w:r w:rsidR="003E668D" w:rsidRPr="006D3B9D">
        <w:rPr>
          <w:sz w:val="25"/>
          <w:szCs w:val="25"/>
        </w:rPr>
        <w:t>»</w:t>
      </w:r>
      <w:r w:rsidRPr="006D3B9D">
        <w:rPr>
          <w:sz w:val="25"/>
          <w:szCs w:val="25"/>
        </w:rPr>
        <w:t>)</w:t>
      </w:r>
      <w:r w:rsidR="003E668D" w:rsidRPr="006D3B9D">
        <w:rPr>
          <w:sz w:val="25"/>
          <w:szCs w:val="25"/>
        </w:rPr>
        <w:t>.</w:t>
      </w:r>
    </w:p>
    <w:p w14:paraId="4AAFC7C7" w14:textId="413F454C" w:rsidR="003E668D" w:rsidRPr="006D3B9D" w:rsidRDefault="0027655A" w:rsidP="003E668D">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Таким чином, станом на початок 2021 року після здійснення витрат у 2020</w:t>
      </w:r>
      <w:r w:rsidR="006C51F6" w:rsidRPr="006D3B9D">
        <w:rPr>
          <w:sz w:val="25"/>
          <w:szCs w:val="25"/>
        </w:rPr>
        <w:t> </w:t>
      </w:r>
      <w:r w:rsidRPr="006D3B9D">
        <w:rPr>
          <w:sz w:val="25"/>
          <w:szCs w:val="25"/>
        </w:rPr>
        <w:t>році</w:t>
      </w:r>
      <w:r w:rsidR="003E668D" w:rsidRPr="006D3B9D">
        <w:rPr>
          <w:sz w:val="25"/>
          <w:szCs w:val="25"/>
        </w:rPr>
        <w:t xml:space="preserve"> </w:t>
      </w:r>
      <w:r w:rsidRPr="006D3B9D">
        <w:rPr>
          <w:sz w:val="25"/>
          <w:szCs w:val="25"/>
        </w:rPr>
        <w:t>(868</w:t>
      </w:r>
      <w:r w:rsidR="006C51F6" w:rsidRPr="006D3B9D">
        <w:rPr>
          <w:sz w:val="25"/>
          <w:szCs w:val="25"/>
        </w:rPr>
        <w:t> </w:t>
      </w:r>
      <w:r w:rsidRPr="006D3B9D">
        <w:rPr>
          <w:sz w:val="25"/>
          <w:szCs w:val="25"/>
        </w:rPr>
        <w:t>141, 46 грн — 542 609,96 грн = 325</w:t>
      </w:r>
      <w:r w:rsidR="006C51F6" w:rsidRPr="006D3B9D">
        <w:rPr>
          <w:sz w:val="25"/>
          <w:szCs w:val="25"/>
        </w:rPr>
        <w:t> </w:t>
      </w:r>
      <w:r w:rsidRPr="006D3B9D">
        <w:rPr>
          <w:sz w:val="25"/>
          <w:szCs w:val="25"/>
        </w:rPr>
        <w:t xml:space="preserve">531,50 грн) у розпорядженні </w:t>
      </w:r>
      <w:r w:rsidR="003E668D" w:rsidRPr="006D3B9D">
        <w:rPr>
          <w:sz w:val="25"/>
          <w:szCs w:val="25"/>
        </w:rPr>
        <w:t>сім’ї</w:t>
      </w:r>
      <w:r w:rsidRPr="006D3B9D">
        <w:rPr>
          <w:sz w:val="25"/>
          <w:szCs w:val="25"/>
        </w:rPr>
        <w:t xml:space="preserve"> кандидатки були грошові кошти у розмірі не більшому ніж 325</w:t>
      </w:r>
      <w:r w:rsidR="006C51F6" w:rsidRPr="006D3B9D">
        <w:rPr>
          <w:sz w:val="25"/>
          <w:szCs w:val="25"/>
        </w:rPr>
        <w:t> </w:t>
      </w:r>
      <w:r w:rsidRPr="006D3B9D">
        <w:rPr>
          <w:sz w:val="25"/>
          <w:szCs w:val="25"/>
        </w:rPr>
        <w:t>531,50 грн.</w:t>
      </w:r>
    </w:p>
    <w:p w14:paraId="150BDE43" w14:textId="0A257A0E" w:rsidR="002204C1" w:rsidRPr="006D3B9D" w:rsidRDefault="003E668D"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Мотоцикл марки «BAJAJ DOMINAR D 400» 2021 року випуску, державна реєстрація 15 травня 2021 року</w:t>
      </w:r>
      <w:r w:rsidR="000332E6" w:rsidRPr="006D3B9D">
        <w:rPr>
          <w:sz w:val="25"/>
          <w:szCs w:val="25"/>
        </w:rPr>
        <w:t>,</w:t>
      </w:r>
      <w:r w:rsidR="002204C1" w:rsidRPr="006D3B9D">
        <w:rPr>
          <w:sz w:val="25"/>
          <w:szCs w:val="25"/>
        </w:rPr>
        <w:t xml:space="preserve"> </w:t>
      </w:r>
      <w:r w:rsidRPr="006D3B9D">
        <w:rPr>
          <w:sz w:val="25"/>
          <w:szCs w:val="25"/>
        </w:rPr>
        <w:t>вартіст</w:t>
      </w:r>
      <w:r w:rsidR="002204C1" w:rsidRPr="006D3B9D">
        <w:rPr>
          <w:sz w:val="25"/>
          <w:szCs w:val="25"/>
        </w:rPr>
        <w:t>ю</w:t>
      </w:r>
      <w:r w:rsidRPr="006D3B9D">
        <w:rPr>
          <w:sz w:val="25"/>
          <w:szCs w:val="25"/>
        </w:rPr>
        <w:t xml:space="preserve"> 127</w:t>
      </w:r>
      <w:r w:rsidR="002204C1" w:rsidRPr="006D3B9D">
        <w:rPr>
          <w:sz w:val="25"/>
          <w:szCs w:val="25"/>
        </w:rPr>
        <w:t> </w:t>
      </w:r>
      <w:r w:rsidRPr="006D3B9D">
        <w:rPr>
          <w:sz w:val="25"/>
          <w:szCs w:val="25"/>
        </w:rPr>
        <w:t>071 грн</w:t>
      </w:r>
      <w:r w:rsidR="000332E6" w:rsidRPr="006D3B9D">
        <w:rPr>
          <w:sz w:val="25"/>
          <w:szCs w:val="25"/>
        </w:rPr>
        <w:t xml:space="preserve"> </w:t>
      </w:r>
      <w:r w:rsidRPr="006D3B9D">
        <w:rPr>
          <w:sz w:val="25"/>
          <w:szCs w:val="25"/>
        </w:rPr>
        <w:t>придбан</w:t>
      </w:r>
      <w:r w:rsidR="000332E6" w:rsidRPr="006D3B9D">
        <w:rPr>
          <w:sz w:val="25"/>
          <w:szCs w:val="25"/>
        </w:rPr>
        <w:t>о</w:t>
      </w:r>
      <w:r w:rsidRPr="006D3B9D">
        <w:rPr>
          <w:sz w:val="25"/>
          <w:szCs w:val="25"/>
        </w:rPr>
        <w:t xml:space="preserve"> за рахунок грошових коштів, що перебували </w:t>
      </w:r>
      <w:r w:rsidR="000332E6" w:rsidRPr="006D3B9D">
        <w:rPr>
          <w:sz w:val="25"/>
          <w:szCs w:val="25"/>
        </w:rPr>
        <w:t>в</w:t>
      </w:r>
      <w:r w:rsidR="002204C1" w:rsidRPr="006D3B9D">
        <w:rPr>
          <w:sz w:val="25"/>
          <w:szCs w:val="25"/>
        </w:rPr>
        <w:t xml:space="preserve"> </w:t>
      </w:r>
      <w:r w:rsidRPr="006D3B9D">
        <w:rPr>
          <w:sz w:val="25"/>
          <w:szCs w:val="25"/>
        </w:rPr>
        <w:t xml:space="preserve">розпорядженні </w:t>
      </w:r>
      <w:r w:rsidR="002204C1" w:rsidRPr="006D3B9D">
        <w:rPr>
          <w:sz w:val="25"/>
          <w:szCs w:val="25"/>
        </w:rPr>
        <w:t>сім’ї</w:t>
      </w:r>
      <w:r w:rsidRPr="006D3B9D">
        <w:rPr>
          <w:sz w:val="25"/>
          <w:szCs w:val="25"/>
        </w:rPr>
        <w:t xml:space="preserve"> кандидатки на почат</w:t>
      </w:r>
      <w:r w:rsidR="000332E6" w:rsidRPr="006D3B9D">
        <w:rPr>
          <w:sz w:val="25"/>
          <w:szCs w:val="25"/>
        </w:rPr>
        <w:t>ку</w:t>
      </w:r>
      <w:r w:rsidRPr="006D3B9D">
        <w:rPr>
          <w:sz w:val="25"/>
          <w:szCs w:val="25"/>
        </w:rPr>
        <w:t xml:space="preserve"> 2021 року (у розмірі не більшому ніж 325</w:t>
      </w:r>
      <w:r w:rsidR="002204C1" w:rsidRPr="006D3B9D">
        <w:rPr>
          <w:sz w:val="25"/>
          <w:szCs w:val="25"/>
        </w:rPr>
        <w:t> </w:t>
      </w:r>
      <w:r w:rsidRPr="006D3B9D">
        <w:rPr>
          <w:sz w:val="25"/>
          <w:szCs w:val="25"/>
        </w:rPr>
        <w:t>531, 50 грн)</w:t>
      </w:r>
      <w:r w:rsidR="002204C1" w:rsidRPr="006D3B9D">
        <w:rPr>
          <w:sz w:val="25"/>
          <w:szCs w:val="25"/>
        </w:rPr>
        <w:t xml:space="preserve"> </w:t>
      </w:r>
      <w:r w:rsidRPr="006D3B9D">
        <w:rPr>
          <w:sz w:val="25"/>
          <w:szCs w:val="25"/>
        </w:rPr>
        <w:t>як накопичення від грошового доходу за 2019</w:t>
      </w:r>
      <w:r w:rsidR="000332E6" w:rsidRPr="006D3B9D">
        <w:rPr>
          <w:sz w:val="25"/>
          <w:szCs w:val="25"/>
        </w:rPr>
        <w:t>—</w:t>
      </w:r>
      <w:r w:rsidRPr="006D3B9D">
        <w:rPr>
          <w:sz w:val="25"/>
          <w:szCs w:val="25"/>
        </w:rPr>
        <w:t>2020</w:t>
      </w:r>
      <w:r w:rsidR="000332E6" w:rsidRPr="006D3B9D">
        <w:rPr>
          <w:sz w:val="25"/>
          <w:szCs w:val="25"/>
        </w:rPr>
        <w:t> </w:t>
      </w:r>
      <w:r w:rsidRPr="006D3B9D">
        <w:rPr>
          <w:sz w:val="25"/>
          <w:szCs w:val="25"/>
        </w:rPr>
        <w:t>роки.</w:t>
      </w:r>
    </w:p>
    <w:p w14:paraId="1FB6F910" w14:textId="3B455B17" w:rsidR="003E668D" w:rsidRPr="006D3B9D" w:rsidRDefault="000332E6"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Ч</w:t>
      </w:r>
      <w:r w:rsidR="003E668D" w:rsidRPr="006D3B9D">
        <w:rPr>
          <w:sz w:val="25"/>
          <w:szCs w:val="25"/>
        </w:rPr>
        <w:t>оловік кандидатк</w:t>
      </w:r>
      <w:r w:rsidRPr="006D3B9D">
        <w:rPr>
          <w:sz w:val="25"/>
          <w:szCs w:val="25"/>
        </w:rPr>
        <w:t>и</w:t>
      </w:r>
      <w:r w:rsidR="003E668D" w:rsidRPr="006D3B9D">
        <w:rPr>
          <w:sz w:val="25"/>
          <w:szCs w:val="25"/>
        </w:rPr>
        <w:t xml:space="preserve"> </w:t>
      </w:r>
      <w:r w:rsidR="00B637EF">
        <w:rPr>
          <w:sz w:val="25"/>
          <w:szCs w:val="25"/>
        </w:rPr>
        <w:t>ОСОБА_3</w:t>
      </w:r>
      <w:r w:rsidR="003E668D" w:rsidRPr="006D3B9D">
        <w:rPr>
          <w:sz w:val="25"/>
          <w:szCs w:val="25"/>
        </w:rPr>
        <w:t xml:space="preserve"> </w:t>
      </w:r>
      <w:r w:rsidRPr="006D3B9D">
        <w:rPr>
          <w:sz w:val="25"/>
          <w:szCs w:val="25"/>
        </w:rPr>
        <w:t xml:space="preserve">25 червня 2021 року </w:t>
      </w:r>
      <w:r w:rsidR="003E668D" w:rsidRPr="006D3B9D">
        <w:rPr>
          <w:sz w:val="25"/>
          <w:szCs w:val="25"/>
        </w:rPr>
        <w:t>здійснив відчуження належного йому</w:t>
      </w:r>
      <w:r w:rsidR="002204C1" w:rsidRPr="006D3B9D">
        <w:rPr>
          <w:sz w:val="25"/>
          <w:szCs w:val="25"/>
        </w:rPr>
        <w:t xml:space="preserve"> </w:t>
      </w:r>
      <w:r w:rsidR="003E668D" w:rsidRPr="006D3B9D">
        <w:rPr>
          <w:sz w:val="25"/>
          <w:szCs w:val="25"/>
        </w:rPr>
        <w:t xml:space="preserve">транспортного засобу — автомобіля </w:t>
      </w:r>
      <w:r w:rsidR="002204C1" w:rsidRPr="006D3B9D">
        <w:rPr>
          <w:sz w:val="25"/>
          <w:szCs w:val="25"/>
        </w:rPr>
        <w:t>марки «</w:t>
      </w:r>
      <w:r w:rsidR="003E668D" w:rsidRPr="006D3B9D">
        <w:rPr>
          <w:sz w:val="25"/>
          <w:szCs w:val="25"/>
        </w:rPr>
        <w:t>VOLKSWAGEN PASSAT</w:t>
      </w:r>
      <w:r w:rsidR="002204C1" w:rsidRPr="006D3B9D">
        <w:rPr>
          <w:sz w:val="25"/>
          <w:szCs w:val="25"/>
        </w:rPr>
        <w:t>»</w:t>
      </w:r>
      <w:r w:rsidRPr="006D3B9D">
        <w:rPr>
          <w:sz w:val="25"/>
          <w:szCs w:val="25"/>
        </w:rPr>
        <w:t xml:space="preserve">, </w:t>
      </w:r>
      <w:r w:rsidR="00B637EF">
        <w:rPr>
          <w:sz w:val="25"/>
          <w:szCs w:val="25"/>
        </w:rPr>
        <w:t>НОМЕР_4</w:t>
      </w:r>
      <w:r w:rsidRPr="006D3B9D">
        <w:rPr>
          <w:sz w:val="25"/>
          <w:szCs w:val="25"/>
        </w:rPr>
        <w:t>,</w:t>
      </w:r>
      <w:r w:rsidR="002204C1" w:rsidRPr="006D3B9D">
        <w:rPr>
          <w:sz w:val="25"/>
          <w:szCs w:val="25"/>
        </w:rPr>
        <w:t xml:space="preserve"> </w:t>
      </w:r>
      <w:r w:rsidR="003E668D" w:rsidRPr="006D3B9D">
        <w:rPr>
          <w:sz w:val="25"/>
          <w:szCs w:val="25"/>
        </w:rPr>
        <w:t>2008 р</w:t>
      </w:r>
      <w:r w:rsidR="002204C1" w:rsidRPr="006D3B9D">
        <w:rPr>
          <w:sz w:val="25"/>
          <w:szCs w:val="25"/>
        </w:rPr>
        <w:t>оку</w:t>
      </w:r>
      <w:r w:rsidR="003E668D" w:rsidRPr="006D3B9D">
        <w:rPr>
          <w:sz w:val="25"/>
          <w:szCs w:val="25"/>
        </w:rPr>
        <w:t xml:space="preserve"> в</w:t>
      </w:r>
      <w:r w:rsidR="002204C1" w:rsidRPr="006D3B9D">
        <w:rPr>
          <w:sz w:val="25"/>
          <w:szCs w:val="25"/>
        </w:rPr>
        <w:t>ипуску</w:t>
      </w:r>
      <w:r w:rsidR="003E668D" w:rsidRPr="006D3B9D">
        <w:rPr>
          <w:sz w:val="25"/>
          <w:szCs w:val="25"/>
        </w:rPr>
        <w:t xml:space="preserve">, </w:t>
      </w:r>
      <w:r w:rsidR="002204C1" w:rsidRPr="006D3B9D">
        <w:rPr>
          <w:sz w:val="25"/>
          <w:szCs w:val="25"/>
        </w:rPr>
        <w:t>об’єм</w:t>
      </w:r>
      <w:r w:rsidR="003E668D" w:rsidRPr="006D3B9D">
        <w:rPr>
          <w:sz w:val="25"/>
          <w:szCs w:val="25"/>
        </w:rPr>
        <w:t xml:space="preserve"> двигуна 1800 см</w:t>
      </w:r>
      <w:r w:rsidR="002204C1" w:rsidRPr="006D3B9D">
        <w:rPr>
          <w:sz w:val="25"/>
          <w:szCs w:val="25"/>
          <w:vertAlign w:val="superscript"/>
        </w:rPr>
        <w:t>3</w:t>
      </w:r>
      <w:r w:rsidRPr="006D3B9D">
        <w:rPr>
          <w:sz w:val="25"/>
          <w:szCs w:val="25"/>
        </w:rPr>
        <w:t xml:space="preserve">, </w:t>
      </w:r>
      <w:r w:rsidR="003E668D" w:rsidRPr="006D3B9D">
        <w:rPr>
          <w:sz w:val="25"/>
          <w:szCs w:val="25"/>
        </w:rPr>
        <w:t>за</w:t>
      </w:r>
      <w:r w:rsidRPr="006D3B9D">
        <w:rPr>
          <w:sz w:val="25"/>
          <w:szCs w:val="25"/>
        </w:rPr>
        <w:t xml:space="preserve"> </w:t>
      </w:r>
      <w:r w:rsidR="003E668D" w:rsidRPr="006D3B9D">
        <w:rPr>
          <w:sz w:val="25"/>
          <w:szCs w:val="25"/>
        </w:rPr>
        <w:t>120</w:t>
      </w:r>
      <w:r w:rsidR="002204C1" w:rsidRPr="006D3B9D">
        <w:rPr>
          <w:sz w:val="25"/>
          <w:szCs w:val="25"/>
        </w:rPr>
        <w:t> </w:t>
      </w:r>
      <w:r w:rsidR="003E668D" w:rsidRPr="006D3B9D">
        <w:rPr>
          <w:sz w:val="25"/>
          <w:szCs w:val="25"/>
        </w:rPr>
        <w:t>000 грн.</w:t>
      </w:r>
    </w:p>
    <w:p w14:paraId="2D488847" w14:textId="36D6F391" w:rsidR="00D667CF" w:rsidRPr="006D3B9D" w:rsidRDefault="00105C6A" w:rsidP="00D667C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Стосовно</w:t>
      </w:r>
      <w:r w:rsidR="00B21EBF" w:rsidRPr="006D3B9D">
        <w:rPr>
          <w:sz w:val="25"/>
          <w:szCs w:val="25"/>
        </w:rPr>
        <w:t xml:space="preserve"> </w:t>
      </w:r>
      <w:r w:rsidR="0068253D" w:rsidRPr="006D3B9D">
        <w:rPr>
          <w:color w:val="000000"/>
          <w:sz w:val="25"/>
          <w:szCs w:val="25"/>
          <w:lang w:eastAsia="uk-UA"/>
        </w:rPr>
        <w:t xml:space="preserve">туристичної подорожі у грудні 2021 року </w:t>
      </w:r>
      <w:r w:rsidR="00A01E1D" w:rsidRPr="006D3B9D">
        <w:rPr>
          <w:color w:val="000000"/>
          <w:sz w:val="25"/>
          <w:szCs w:val="25"/>
          <w:lang w:eastAsia="uk-UA"/>
        </w:rPr>
        <w:t xml:space="preserve">до м. </w:t>
      </w:r>
      <w:r w:rsidR="0068253D" w:rsidRPr="006D3B9D">
        <w:rPr>
          <w:color w:val="000000"/>
          <w:sz w:val="25"/>
          <w:szCs w:val="25"/>
          <w:lang w:eastAsia="uk-UA"/>
        </w:rPr>
        <w:t xml:space="preserve">Дубай — </w:t>
      </w:r>
      <w:r w:rsidR="00A01E1D" w:rsidRPr="006D3B9D">
        <w:rPr>
          <w:color w:val="000000"/>
          <w:sz w:val="25"/>
          <w:szCs w:val="25"/>
          <w:lang w:eastAsia="uk-UA"/>
        </w:rPr>
        <w:t xml:space="preserve">м. </w:t>
      </w:r>
      <w:r w:rsidR="0068253D" w:rsidRPr="006D3B9D">
        <w:rPr>
          <w:color w:val="000000"/>
          <w:sz w:val="25"/>
          <w:szCs w:val="25"/>
          <w:lang w:eastAsia="uk-UA"/>
        </w:rPr>
        <w:t>Шарм-ель-Шейх Комісія встановила таке.</w:t>
      </w:r>
    </w:p>
    <w:p w14:paraId="1A1D5C2E" w14:textId="17D6F627" w:rsidR="00D667CF" w:rsidRPr="006D3B9D" w:rsidRDefault="00D667CF" w:rsidP="00D667C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своїх поясненнях кандидатка зазначила, що вказан</w:t>
      </w:r>
      <w:r w:rsidR="000332E6" w:rsidRPr="006D3B9D">
        <w:rPr>
          <w:sz w:val="25"/>
          <w:szCs w:val="25"/>
        </w:rPr>
        <w:t>у</w:t>
      </w:r>
      <w:r w:rsidRPr="006D3B9D">
        <w:rPr>
          <w:sz w:val="25"/>
          <w:szCs w:val="25"/>
        </w:rPr>
        <w:t xml:space="preserve"> т</w:t>
      </w:r>
      <w:r w:rsidR="002204C1" w:rsidRPr="006D3B9D">
        <w:rPr>
          <w:sz w:val="25"/>
          <w:szCs w:val="25"/>
        </w:rPr>
        <w:t>уристичн</w:t>
      </w:r>
      <w:r w:rsidR="000332E6" w:rsidRPr="006D3B9D">
        <w:rPr>
          <w:sz w:val="25"/>
          <w:szCs w:val="25"/>
        </w:rPr>
        <w:t>у</w:t>
      </w:r>
      <w:r w:rsidR="002204C1" w:rsidRPr="006D3B9D">
        <w:rPr>
          <w:sz w:val="25"/>
          <w:szCs w:val="25"/>
        </w:rPr>
        <w:t xml:space="preserve"> подорож</w:t>
      </w:r>
      <w:r w:rsidRPr="006D3B9D">
        <w:rPr>
          <w:sz w:val="25"/>
          <w:szCs w:val="25"/>
        </w:rPr>
        <w:t xml:space="preserve"> </w:t>
      </w:r>
      <w:r w:rsidR="002204C1" w:rsidRPr="006D3B9D">
        <w:rPr>
          <w:sz w:val="25"/>
          <w:szCs w:val="25"/>
        </w:rPr>
        <w:t>бул</w:t>
      </w:r>
      <w:r w:rsidR="000332E6" w:rsidRPr="006D3B9D">
        <w:rPr>
          <w:sz w:val="25"/>
          <w:szCs w:val="25"/>
        </w:rPr>
        <w:t>о</w:t>
      </w:r>
      <w:r w:rsidR="002204C1" w:rsidRPr="006D3B9D">
        <w:rPr>
          <w:sz w:val="25"/>
          <w:szCs w:val="25"/>
        </w:rPr>
        <w:t xml:space="preserve"> придбан</w:t>
      </w:r>
      <w:r w:rsidR="000332E6" w:rsidRPr="006D3B9D">
        <w:rPr>
          <w:sz w:val="25"/>
          <w:szCs w:val="25"/>
        </w:rPr>
        <w:t>о</w:t>
      </w:r>
      <w:r w:rsidR="002204C1" w:rsidRPr="006D3B9D">
        <w:rPr>
          <w:sz w:val="25"/>
          <w:szCs w:val="25"/>
        </w:rPr>
        <w:t xml:space="preserve"> </w:t>
      </w:r>
      <w:r w:rsidR="000332E6" w:rsidRPr="006D3B9D">
        <w:rPr>
          <w:sz w:val="25"/>
          <w:szCs w:val="25"/>
        </w:rPr>
        <w:t>в</w:t>
      </w:r>
      <w:r w:rsidRPr="006D3B9D">
        <w:rPr>
          <w:sz w:val="25"/>
          <w:szCs w:val="25"/>
        </w:rPr>
        <w:t xml:space="preserve"> </w:t>
      </w:r>
      <w:r w:rsidR="002204C1" w:rsidRPr="006D3B9D">
        <w:rPr>
          <w:sz w:val="25"/>
          <w:szCs w:val="25"/>
        </w:rPr>
        <w:t xml:space="preserve">туроператора </w:t>
      </w:r>
      <w:r w:rsidR="000332E6" w:rsidRPr="006D3B9D">
        <w:rPr>
          <w:sz w:val="25"/>
          <w:szCs w:val="25"/>
        </w:rPr>
        <w:t>««</w:t>
      </w:r>
      <w:proofErr w:type="spellStart"/>
      <w:r w:rsidR="000332E6" w:rsidRPr="006D3B9D">
        <w:rPr>
          <w:sz w:val="25"/>
          <w:szCs w:val="25"/>
        </w:rPr>
        <w:t>Анекс</w:t>
      </w:r>
      <w:proofErr w:type="spellEnd"/>
      <w:r w:rsidR="000332E6" w:rsidRPr="006D3B9D">
        <w:rPr>
          <w:sz w:val="25"/>
          <w:szCs w:val="25"/>
        </w:rPr>
        <w:t xml:space="preserve"> ТУР» </w:t>
      </w:r>
      <w:r w:rsidR="002204C1" w:rsidRPr="006D3B9D">
        <w:rPr>
          <w:sz w:val="25"/>
          <w:szCs w:val="25"/>
        </w:rPr>
        <w:t>(</w:t>
      </w:r>
      <w:r w:rsidR="0097588E" w:rsidRPr="006D3B9D">
        <w:rPr>
          <w:sz w:val="25"/>
          <w:szCs w:val="25"/>
        </w:rPr>
        <w:t>у</w:t>
      </w:r>
      <w:r w:rsidR="002204C1" w:rsidRPr="006D3B9D">
        <w:rPr>
          <w:sz w:val="25"/>
          <w:szCs w:val="25"/>
        </w:rPr>
        <w:t xml:space="preserve"> </w:t>
      </w:r>
      <w:proofErr w:type="spellStart"/>
      <w:r w:rsidR="002204C1" w:rsidRPr="006D3B9D">
        <w:rPr>
          <w:sz w:val="25"/>
          <w:szCs w:val="25"/>
        </w:rPr>
        <w:t>турагента</w:t>
      </w:r>
      <w:proofErr w:type="spellEnd"/>
      <w:r w:rsidR="002204C1" w:rsidRPr="006D3B9D">
        <w:rPr>
          <w:sz w:val="25"/>
          <w:szCs w:val="25"/>
        </w:rPr>
        <w:t xml:space="preserve">, що </w:t>
      </w:r>
      <w:r w:rsidRPr="006D3B9D">
        <w:rPr>
          <w:sz w:val="25"/>
          <w:szCs w:val="25"/>
        </w:rPr>
        <w:t>співпрацює</w:t>
      </w:r>
      <w:r w:rsidR="002204C1" w:rsidRPr="006D3B9D">
        <w:rPr>
          <w:sz w:val="25"/>
          <w:szCs w:val="25"/>
        </w:rPr>
        <w:t xml:space="preserve"> з </w:t>
      </w:r>
      <w:r w:rsidR="000332E6" w:rsidRPr="006D3B9D">
        <w:rPr>
          <w:sz w:val="25"/>
          <w:szCs w:val="25"/>
        </w:rPr>
        <w:t>цим</w:t>
      </w:r>
      <w:r w:rsidR="002204C1" w:rsidRPr="006D3B9D">
        <w:rPr>
          <w:sz w:val="25"/>
          <w:szCs w:val="25"/>
        </w:rPr>
        <w:t xml:space="preserve"> оператором</w:t>
      </w:r>
      <w:r w:rsidR="000332E6" w:rsidRPr="006D3B9D">
        <w:rPr>
          <w:sz w:val="25"/>
          <w:szCs w:val="25"/>
        </w:rPr>
        <w:t>,</w:t>
      </w:r>
      <w:r w:rsidR="002204C1" w:rsidRPr="006D3B9D">
        <w:rPr>
          <w:sz w:val="25"/>
          <w:szCs w:val="25"/>
        </w:rPr>
        <w:t xml:space="preserve"> ФОП </w:t>
      </w:r>
      <w:r w:rsidR="00B637EF">
        <w:rPr>
          <w:sz w:val="25"/>
          <w:szCs w:val="25"/>
        </w:rPr>
        <w:t>ОСОБА_4</w:t>
      </w:r>
      <w:r w:rsidR="002204C1" w:rsidRPr="006D3B9D">
        <w:rPr>
          <w:sz w:val="25"/>
          <w:szCs w:val="25"/>
        </w:rPr>
        <w:t>)</w:t>
      </w:r>
      <w:r w:rsidRPr="006D3B9D">
        <w:rPr>
          <w:sz w:val="25"/>
          <w:szCs w:val="25"/>
        </w:rPr>
        <w:t xml:space="preserve"> </w:t>
      </w:r>
      <w:r w:rsidR="002204C1" w:rsidRPr="006D3B9D">
        <w:rPr>
          <w:sz w:val="25"/>
          <w:szCs w:val="25"/>
        </w:rPr>
        <w:t xml:space="preserve">за маршрутом Київ—Шарм-ель-Шейх—Київ. Вартість </w:t>
      </w:r>
      <w:r w:rsidRPr="006D3B9D">
        <w:rPr>
          <w:sz w:val="25"/>
          <w:szCs w:val="25"/>
        </w:rPr>
        <w:t>в</w:t>
      </w:r>
      <w:r w:rsidR="002204C1" w:rsidRPr="006D3B9D">
        <w:rPr>
          <w:sz w:val="25"/>
          <w:szCs w:val="25"/>
        </w:rPr>
        <w:t xml:space="preserve">казаної подорожі на 2 </w:t>
      </w:r>
      <w:r w:rsidRPr="006D3B9D">
        <w:rPr>
          <w:sz w:val="25"/>
          <w:szCs w:val="25"/>
        </w:rPr>
        <w:t>осіб</w:t>
      </w:r>
      <w:r w:rsidR="002204C1" w:rsidRPr="006D3B9D">
        <w:rPr>
          <w:sz w:val="25"/>
          <w:szCs w:val="25"/>
        </w:rPr>
        <w:t xml:space="preserve"> терміном на 8 днів/7 ночей с</w:t>
      </w:r>
      <w:r w:rsidRPr="006D3B9D">
        <w:rPr>
          <w:sz w:val="25"/>
          <w:szCs w:val="25"/>
        </w:rPr>
        <w:t>тановила</w:t>
      </w:r>
      <w:r w:rsidR="002204C1" w:rsidRPr="006D3B9D">
        <w:rPr>
          <w:sz w:val="25"/>
          <w:szCs w:val="25"/>
        </w:rPr>
        <w:t xml:space="preserve"> 20</w:t>
      </w:r>
      <w:r w:rsidRPr="006D3B9D">
        <w:rPr>
          <w:sz w:val="25"/>
          <w:szCs w:val="25"/>
        </w:rPr>
        <w:t> </w:t>
      </w:r>
      <w:r w:rsidR="002204C1" w:rsidRPr="006D3B9D">
        <w:rPr>
          <w:sz w:val="25"/>
          <w:szCs w:val="25"/>
        </w:rPr>
        <w:t>400</w:t>
      </w:r>
      <w:r w:rsidRPr="006D3B9D">
        <w:rPr>
          <w:sz w:val="25"/>
          <w:szCs w:val="25"/>
        </w:rPr>
        <w:t xml:space="preserve"> </w:t>
      </w:r>
      <w:r w:rsidR="002204C1" w:rsidRPr="006D3B9D">
        <w:rPr>
          <w:sz w:val="25"/>
          <w:szCs w:val="25"/>
        </w:rPr>
        <w:t>грн (</w:t>
      </w:r>
      <w:r w:rsidR="0097588E" w:rsidRPr="006D3B9D">
        <w:rPr>
          <w:sz w:val="25"/>
          <w:szCs w:val="25"/>
        </w:rPr>
        <w:t xml:space="preserve">еквівалентно </w:t>
      </w:r>
      <w:r w:rsidR="002204C1" w:rsidRPr="006D3B9D">
        <w:rPr>
          <w:sz w:val="25"/>
          <w:szCs w:val="25"/>
        </w:rPr>
        <w:t xml:space="preserve">750 </w:t>
      </w:r>
      <w:proofErr w:type="spellStart"/>
      <w:r w:rsidR="002204C1" w:rsidRPr="006D3B9D">
        <w:rPr>
          <w:sz w:val="25"/>
          <w:szCs w:val="25"/>
        </w:rPr>
        <w:t>дол</w:t>
      </w:r>
      <w:proofErr w:type="spellEnd"/>
      <w:r w:rsidR="0097588E" w:rsidRPr="006D3B9D">
        <w:rPr>
          <w:sz w:val="25"/>
          <w:szCs w:val="25"/>
        </w:rPr>
        <w:t>.</w:t>
      </w:r>
      <w:r w:rsidR="002204C1" w:rsidRPr="006D3B9D">
        <w:rPr>
          <w:sz w:val="25"/>
          <w:szCs w:val="25"/>
        </w:rPr>
        <w:t xml:space="preserve"> США), що цілком </w:t>
      </w:r>
      <w:r w:rsidRPr="006D3B9D">
        <w:rPr>
          <w:sz w:val="25"/>
          <w:szCs w:val="25"/>
        </w:rPr>
        <w:t xml:space="preserve">відповідає </w:t>
      </w:r>
      <w:r w:rsidR="002204C1" w:rsidRPr="006D3B9D">
        <w:rPr>
          <w:sz w:val="25"/>
          <w:szCs w:val="25"/>
        </w:rPr>
        <w:t xml:space="preserve">вартості відпочинку </w:t>
      </w:r>
      <w:r w:rsidR="000332E6" w:rsidRPr="006D3B9D">
        <w:rPr>
          <w:sz w:val="25"/>
          <w:szCs w:val="25"/>
        </w:rPr>
        <w:t>в</w:t>
      </w:r>
      <w:r w:rsidR="002204C1" w:rsidRPr="006D3B9D">
        <w:rPr>
          <w:sz w:val="25"/>
          <w:szCs w:val="25"/>
        </w:rPr>
        <w:t xml:space="preserve"> </w:t>
      </w:r>
      <w:r w:rsidR="000332E6" w:rsidRPr="006D3B9D">
        <w:rPr>
          <w:sz w:val="25"/>
          <w:szCs w:val="25"/>
        </w:rPr>
        <w:t>цьому</w:t>
      </w:r>
      <w:r w:rsidR="002204C1" w:rsidRPr="006D3B9D">
        <w:rPr>
          <w:sz w:val="25"/>
          <w:szCs w:val="25"/>
        </w:rPr>
        <w:t xml:space="preserve"> населеному пункті у вказаний сезон.</w:t>
      </w:r>
    </w:p>
    <w:p w14:paraId="17B96BB7" w14:textId="5A12F1B8" w:rsidR="00D667CF" w:rsidRPr="006D3B9D" w:rsidRDefault="000332E6" w:rsidP="00D667C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 і</w:t>
      </w:r>
      <w:r w:rsidR="002204C1" w:rsidRPr="006D3B9D">
        <w:rPr>
          <w:sz w:val="25"/>
          <w:szCs w:val="25"/>
        </w:rPr>
        <w:t>нформаці</w:t>
      </w:r>
      <w:r w:rsidRPr="006D3B9D">
        <w:rPr>
          <w:sz w:val="25"/>
          <w:szCs w:val="25"/>
        </w:rPr>
        <w:t>єю</w:t>
      </w:r>
      <w:r w:rsidR="002204C1" w:rsidRPr="006D3B9D">
        <w:rPr>
          <w:sz w:val="25"/>
          <w:szCs w:val="25"/>
        </w:rPr>
        <w:t xml:space="preserve"> про </w:t>
      </w:r>
      <w:proofErr w:type="spellStart"/>
      <w:r w:rsidR="002204C1" w:rsidRPr="006D3B9D">
        <w:rPr>
          <w:sz w:val="25"/>
          <w:szCs w:val="25"/>
        </w:rPr>
        <w:t>турагента</w:t>
      </w:r>
      <w:proofErr w:type="spellEnd"/>
      <w:r w:rsidR="002204C1" w:rsidRPr="006D3B9D">
        <w:rPr>
          <w:sz w:val="25"/>
          <w:szCs w:val="25"/>
        </w:rPr>
        <w:t xml:space="preserve"> ФОП </w:t>
      </w:r>
      <w:r w:rsidR="00B637EF">
        <w:rPr>
          <w:sz w:val="25"/>
          <w:szCs w:val="25"/>
        </w:rPr>
        <w:t>ОСОБА_4</w:t>
      </w:r>
      <w:r w:rsidR="002204C1" w:rsidRPr="006D3B9D">
        <w:rPr>
          <w:sz w:val="25"/>
          <w:szCs w:val="25"/>
        </w:rPr>
        <w:t xml:space="preserve"> можливо </w:t>
      </w:r>
      <w:r w:rsidRPr="006D3B9D">
        <w:rPr>
          <w:sz w:val="25"/>
          <w:szCs w:val="25"/>
        </w:rPr>
        <w:t>ознайомитись</w:t>
      </w:r>
      <w:r w:rsidR="002204C1" w:rsidRPr="006D3B9D">
        <w:rPr>
          <w:sz w:val="25"/>
          <w:szCs w:val="25"/>
        </w:rPr>
        <w:t xml:space="preserve"> на сайті </w:t>
      </w:r>
      <w:proofErr w:type="spellStart"/>
      <w:r w:rsidR="002204C1" w:rsidRPr="006D3B9D">
        <w:rPr>
          <w:sz w:val="25"/>
          <w:szCs w:val="25"/>
        </w:rPr>
        <w:t>турагенства</w:t>
      </w:r>
      <w:proofErr w:type="spellEnd"/>
      <w:r w:rsidR="002204C1" w:rsidRPr="006D3B9D">
        <w:rPr>
          <w:sz w:val="25"/>
          <w:szCs w:val="25"/>
        </w:rPr>
        <w:t xml:space="preserve"> «</w:t>
      </w:r>
      <w:proofErr w:type="spellStart"/>
      <w:r w:rsidR="002204C1" w:rsidRPr="006D3B9D">
        <w:rPr>
          <w:sz w:val="25"/>
          <w:szCs w:val="25"/>
        </w:rPr>
        <w:t>Анекс</w:t>
      </w:r>
      <w:proofErr w:type="spellEnd"/>
      <w:r w:rsidR="00D667CF" w:rsidRPr="006D3B9D">
        <w:rPr>
          <w:sz w:val="25"/>
          <w:szCs w:val="25"/>
        </w:rPr>
        <w:t xml:space="preserve"> </w:t>
      </w:r>
      <w:r w:rsidR="002204C1" w:rsidRPr="006D3B9D">
        <w:rPr>
          <w:sz w:val="25"/>
          <w:szCs w:val="25"/>
        </w:rPr>
        <w:t>ТУР» (htt</w:t>
      </w:r>
      <w:r w:rsidR="00D667CF" w:rsidRPr="006D3B9D">
        <w:rPr>
          <w:sz w:val="25"/>
          <w:szCs w:val="25"/>
        </w:rPr>
        <w:t>p</w:t>
      </w:r>
      <w:r w:rsidR="002204C1" w:rsidRPr="006D3B9D">
        <w:rPr>
          <w:sz w:val="25"/>
          <w:szCs w:val="25"/>
        </w:rPr>
        <w:t xml:space="preserve">s:// </w:t>
      </w:r>
      <w:proofErr w:type="spellStart"/>
      <w:r w:rsidR="002204C1" w:rsidRPr="006D3B9D">
        <w:rPr>
          <w:sz w:val="25"/>
          <w:szCs w:val="25"/>
        </w:rPr>
        <w:t>anextour</w:t>
      </w:r>
      <w:proofErr w:type="spellEnd"/>
      <w:r w:rsidR="002204C1" w:rsidRPr="006D3B9D">
        <w:rPr>
          <w:sz w:val="25"/>
          <w:szCs w:val="25"/>
        </w:rPr>
        <w:t xml:space="preserve"> co</w:t>
      </w:r>
      <w:r w:rsidR="00D667CF" w:rsidRPr="006D3B9D">
        <w:rPr>
          <w:sz w:val="25"/>
          <w:szCs w:val="25"/>
        </w:rPr>
        <w:t>m.</w:t>
      </w:r>
      <w:r w:rsidR="002204C1" w:rsidRPr="006D3B9D">
        <w:rPr>
          <w:sz w:val="25"/>
          <w:szCs w:val="25"/>
        </w:rPr>
        <w:t>u</w:t>
      </w:r>
      <w:r w:rsidR="00D667CF" w:rsidRPr="006D3B9D">
        <w:rPr>
          <w:sz w:val="25"/>
          <w:szCs w:val="25"/>
        </w:rPr>
        <w:t>a</w:t>
      </w:r>
      <w:r w:rsidR="002204C1" w:rsidRPr="006D3B9D">
        <w:rPr>
          <w:sz w:val="25"/>
          <w:szCs w:val="25"/>
        </w:rPr>
        <w:t>)</w:t>
      </w:r>
      <w:r w:rsidR="00D667CF" w:rsidRPr="006D3B9D">
        <w:rPr>
          <w:sz w:val="25"/>
          <w:szCs w:val="25"/>
        </w:rPr>
        <w:t>.</w:t>
      </w:r>
    </w:p>
    <w:p w14:paraId="6D2D8604" w14:textId="24251EA1" w:rsidR="00D667CF" w:rsidRPr="006D3B9D" w:rsidRDefault="002204C1" w:rsidP="00D667C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w:t>
      </w:r>
      <w:r w:rsidR="0097588E" w:rsidRPr="006D3B9D">
        <w:rPr>
          <w:sz w:val="25"/>
          <w:szCs w:val="25"/>
        </w:rPr>
        <w:t>припущення ГРД</w:t>
      </w:r>
      <w:r w:rsidRPr="006D3B9D">
        <w:rPr>
          <w:sz w:val="25"/>
          <w:szCs w:val="25"/>
        </w:rPr>
        <w:t>, що зазначена подорож відбулася з</w:t>
      </w:r>
      <w:r w:rsidR="00D667CF" w:rsidRPr="006D3B9D">
        <w:rPr>
          <w:sz w:val="25"/>
          <w:szCs w:val="25"/>
        </w:rPr>
        <w:t xml:space="preserve"> </w:t>
      </w:r>
      <w:r w:rsidRPr="006D3B9D">
        <w:rPr>
          <w:sz w:val="25"/>
          <w:szCs w:val="25"/>
        </w:rPr>
        <w:t xml:space="preserve">проміжним відвідуванням </w:t>
      </w:r>
      <w:r w:rsidR="0097588E" w:rsidRPr="006D3B9D">
        <w:rPr>
          <w:sz w:val="25"/>
          <w:szCs w:val="25"/>
        </w:rPr>
        <w:t xml:space="preserve">м. </w:t>
      </w:r>
      <w:r w:rsidRPr="006D3B9D">
        <w:rPr>
          <w:sz w:val="25"/>
          <w:szCs w:val="25"/>
        </w:rPr>
        <w:t>Дубаю</w:t>
      </w:r>
      <w:r w:rsidR="0097588E" w:rsidRPr="006D3B9D">
        <w:rPr>
          <w:sz w:val="25"/>
          <w:szCs w:val="25"/>
        </w:rPr>
        <w:t xml:space="preserve">, кандидатка зазначила, що </w:t>
      </w:r>
      <w:r w:rsidR="000332E6" w:rsidRPr="006D3B9D">
        <w:rPr>
          <w:sz w:val="25"/>
          <w:szCs w:val="25"/>
        </w:rPr>
        <w:t>в</w:t>
      </w:r>
      <w:r w:rsidRPr="006D3B9D">
        <w:rPr>
          <w:sz w:val="25"/>
          <w:szCs w:val="25"/>
        </w:rPr>
        <w:t xml:space="preserve"> закордонних паспортах </w:t>
      </w:r>
      <w:r w:rsidR="000332E6" w:rsidRPr="006D3B9D">
        <w:rPr>
          <w:sz w:val="25"/>
          <w:szCs w:val="25"/>
        </w:rPr>
        <w:t xml:space="preserve">її </w:t>
      </w:r>
      <w:r w:rsidRPr="006D3B9D">
        <w:rPr>
          <w:sz w:val="25"/>
          <w:szCs w:val="25"/>
        </w:rPr>
        <w:t xml:space="preserve">та чоловіка </w:t>
      </w:r>
      <w:r w:rsidR="0097588E" w:rsidRPr="006D3B9D">
        <w:rPr>
          <w:sz w:val="25"/>
          <w:szCs w:val="25"/>
        </w:rPr>
        <w:t>відсутні відповідні відмітки</w:t>
      </w:r>
      <w:r w:rsidR="000332E6" w:rsidRPr="006D3B9D">
        <w:rPr>
          <w:sz w:val="25"/>
          <w:szCs w:val="25"/>
        </w:rPr>
        <w:t>,</w:t>
      </w:r>
      <w:r w:rsidR="0097588E" w:rsidRPr="006D3B9D">
        <w:rPr>
          <w:sz w:val="25"/>
          <w:szCs w:val="25"/>
        </w:rPr>
        <w:t xml:space="preserve"> </w:t>
      </w:r>
      <w:r w:rsidRPr="006D3B9D">
        <w:rPr>
          <w:sz w:val="25"/>
          <w:szCs w:val="25"/>
        </w:rPr>
        <w:t xml:space="preserve">а також </w:t>
      </w:r>
      <w:r w:rsidR="0097588E" w:rsidRPr="006D3B9D">
        <w:rPr>
          <w:sz w:val="25"/>
          <w:szCs w:val="25"/>
        </w:rPr>
        <w:t xml:space="preserve">згідно </w:t>
      </w:r>
      <w:r w:rsidR="000332E6" w:rsidRPr="006D3B9D">
        <w:rPr>
          <w:sz w:val="25"/>
          <w:szCs w:val="25"/>
        </w:rPr>
        <w:t xml:space="preserve">з </w:t>
      </w:r>
      <w:r w:rsidR="0097588E" w:rsidRPr="006D3B9D">
        <w:rPr>
          <w:sz w:val="25"/>
          <w:szCs w:val="25"/>
        </w:rPr>
        <w:t>відомост</w:t>
      </w:r>
      <w:r w:rsidR="000332E6" w:rsidRPr="006D3B9D">
        <w:rPr>
          <w:sz w:val="25"/>
          <w:szCs w:val="25"/>
        </w:rPr>
        <w:t>ями</w:t>
      </w:r>
      <w:r w:rsidRPr="006D3B9D">
        <w:rPr>
          <w:sz w:val="25"/>
          <w:szCs w:val="25"/>
        </w:rPr>
        <w:t xml:space="preserve"> Державної прикордонної служби України виїзд відбувся</w:t>
      </w:r>
      <w:r w:rsidR="00D667CF" w:rsidRPr="006D3B9D">
        <w:rPr>
          <w:sz w:val="25"/>
          <w:szCs w:val="25"/>
        </w:rPr>
        <w:t xml:space="preserve"> </w:t>
      </w:r>
      <w:r w:rsidRPr="006D3B9D">
        <w:rPr>
          <w:sz w:val="25"/>
          <w:szCs w:val="25"/>
        </w:rPr>
        <w:t>06</w:t>
      </w:r>
      <w:r w:rsidR="00D667CF" w:rsidRPr="006D3B9D">
        <w:rPr>
          <w:sz w:val="25"/>
          <w:szCs w:val="25"/>
        </w:rPr>
        <w:t xml:space="preserve"> грудня </w:t>
      </w:r>
      <w:r w:rsidRPr="006D3B9D">
        <w:rPr>
          <w:sz w:val="25"/>
          <w:szCs w:val="25"/>
        </w:rPr>
        <w:t>2021</w:t>
      </w:r>
      <w:r w:rsidR="00D667CF" w:rsidRPr="006D3B9D">
        <w:rPr>
          <w:sz w:val="25"/>
          <w:szCs w:val="25"/>
        </w:rPr>
        <w:t xml:space="preserve"> року</w:t>
      </w:r>
      <w:r w:rsidRPr="006D3B9D">
        <w:rPr>
          <w:sz w:val="25"/>
          <w:szCs w:val="25"/>
        </w:rPr>
        <w:t xml:space="preserve"> </w:t>
      </w:r>
      <w:r w:rsidR="00665B1E" w:rsidRPr="006D3B9D">
        <w:rPr>
          <w:sz w:val="25"/>
          <w:szCs w:val="25"/>
        </w:rPr>
        <w:t>авіасполученням рейсу №</w:t>
      </w:r>
      <w:r w:rsidRPr="006D3B9D">
        <w:rPr>
          <w:sz w:val="25"/>
          <w:szCs w:val="25"/>
        </w:rPr>
        <w:t xml:space="preserve"> 1730 «Київ</w:t>
      </w:r>
      <w:r w:rsidR="000332E6" w:rsidRPr="006D3B9D">
        <w:rPr>
          <w:sz w:val="25"/>
          <w:szCs w:val="25"/>
        </w:rPr>
        <w:t>—</w:t>
      </w:r>
      <w:r w:rsidRPr="006D3B9D">
        <w:rPr>
          <w:sz w:val="25"/>
          <w:szCs w:val="25"/>
        </w:rPr>
        <w:t>Дубай».</w:t>
      </w:r>
      <w:r w:rsidR="00D667CF" w:rsidRPr="006D3B9D">
        <w:rPr>
          <w:sz w:val="25"/>
          <w:szCs w:val="25"/>
        </w:rPr>
        <w:t xml:space="preserve"> </w:t>
      </w:r>
      <w:r w:rsidR="000332E6" w:rsidRPr="006D3B9D">
        <w:rPr>
          <w:sz w:val="25"/>
          <w:szCs w:val="25"/>
        </w:rPr>
        <w:t>Беручи</w:t>
      </w:r>
      <w:r w:rsidRPr="006D3B9D">
        <w:rPr>
          <w:sz w:val="25"/>
          <w:szCs w:val="25"/>
        </w:rPr>
        <w:t xml:space="preserve"> до уваги</w:t>
      </w:r>
      <w:r w:rsidR="000332E6" w:rsidRPr="006D3B9D">
        <w:rPr>
          <w:sz w:val="25"/>
          <w:szCs w:val="25"/>
        </w:rPr>
        <w:t>,</w:t>
      </w:r>
      <w:r w:rsidR="00D667CF" w:rsidRPr="006D3B9D">
        <w:rPr>
          <w:sz w:val="25"/>
          <w:szCs w:val="25"/>
        </w:rPr>
        <w:t xml:space="preserve"> </w:t>
      </w:r>
      <w:r w:rsidRPr="006D3B9D">
        <w:rPr>
          <w:sz w:val="25"/>
          <w:szCs w:val="25"/>
        </w:rPr>
        <w:t>що вказан</w:t>
      </w:r>
      <w:r w:rsidR="000332E6" w:rsidRPr="006D3B9D">
        <w:rPr>
          <w:sz w:val="25"/>
          <w:szCs w:val="25"/>
        </w:rPr>
        <w:t>у</w:t>
      </w:r>
      <w:r w:rsidRPr="006D3B9D">
        <w:rPr>
          <w:sz w:val="25"/>
          <w:szCs w:val="25"/>
        </w:rPr>
        <w:t xml:space="preserve"> інформаці</w:t>
      </w:r>
      <w:r w:rsidR="000332E6" w:rsidRPr="006D3B9D">
        <w:rPr>
          <w:sz w:val="25"/>
          <w:szCs w:val="25"/>
        </w:rPr>
        <w:t>ю</w:t>
      </w:r>
      <w:r w:rsidRPr="006D3B9D">
        <w:rPr>
          <w:sz w:val="25"/>
          <w:szCs w:val="25"/>
        </w:rPr>
        <w:t xml:space="preserve"> розміщен</w:t>
      </w:r>
      <w:r w:rsidR="000332E6" w:rsidRPr="006D3B9D">
        <w:rPr>
          <w:sz w:val="25"/>
          <w:szCs w:val="25"/>
        </w:rPr>
        <w:t>о</w:t>
      </w:r>
      <w:r w:rsidRPr="006D3B9D">
        <w:rPr>
          <w:sz w:val="25"/>
          <w:szCs w:val="25"/>
        </w:rPr>
        <w:t xml:space="preserve"> у графі</w:t>
      </w:r>
      <w:r w:rsidR="00D667CF" w:rsidRPr="006D3B9D">
        <w:rPr>
          <w:sz w:val="25"/>
          <w:szCs w:val="25"/>
        </w:rPr>
        <w:t xml:space="preserve"> </w:t>
      </w:r>
      <w:r w:rsidRPr="006D3B9D">
        <w:rPr>
          <w:sz w:val="25"/>
          <w:szCs w:val="25"/>
        </w:rPr>
        <w:t xml:space="preserve">«Характеристика ТЗ», — це </w:t>
      </w:r>
      <w:r w:rsidR="00D667CF" w:rsidRPr="006D3B9D">
        <w:rPr>
          <w:sz w:val="25"/>
          <w:szCs w:val="25"/>
        </w:rPr>
        <w:t>вказує</w:t>
      </w:r>
      <w:r w:rsidRPr="006D3B9D">
        <w:rPr>
          <w:sz w:val="25"/>
          <w:szCs w:val="25"/>
        </w:rPr>
        <w:t xml:space="preserve"> на те, що</w:t>
      </w:r>
      <w:r w:rsidR="000332E6" w:rsidRPr="006D3B9D">
        <w:rPr>
          <w:sz w:val="25"/>
          <w:szCs w:val="25"/>
        </w:rPr>
        <w:t>,</w:t>
      </w:r>
      <w:r w:rsidRPr="006D3B9D">
        <w:rPr>
          <w:sz w:val="25"/>
          <w:szCs w:val="25"/>
        </w:rPr>
        <w:t xml:space="preserve"> ймовірно</w:t>
      </w:r>
      <w:r w:rsidR="000332E6" w:rsidRPr="006D3B9D">
        <w:rPr>
          <w:sz w:val="25"/>
          <w:szCs w:val="25"/>
        </w:rPr>
        <w:t>,</w:t>
      </w:r>
      <w:r w:rsidRPr="006D3B9D">
        <w:rPr>
          <w:sz w:val="25"/>
          <w:szCs w:val="25"/>
        </w:rPr>
        <w:t xml:space="preserve"> рейс № 1730 06</w:t>
      </w:r>
      <w:r w:rsidR="00D667CF" w:rsidRPr="006D3B9D">
        <w:rPr>
          <w:sz w:val="25"/>
          <w:szCs w:val="25"/>
        </w:rPr>
        <w:t xml:space="preserve"> грудня </w:t>
      </w:r>
      <w:r w:rsidRPr="006D3B9D">
        <w:rPr>
          <w:sz w:val="25"/>
          <w:szCs w:val="25"/>
        </w:rPr>
        <w:t>2021</w:t>
      </w:r>
      <w:r w:rsidR="00D667CF" w:rsidRPr="006D3B9D">
        <w:rPr>
          <w:sz w:val="25"/>
          <w:szCs w:val="25"/>
        </w:rPr>
        <w:t xml:space="preserve"> року</w:t>
      </w:r>
      <w:r w:rsidRPr="006D3B9D">
        <w:rPr>
          <w:sz w:val="25"/>
          <w:szCs w:val="25"/>
        </w:rPr>
        <w:t xml:space="preserve"> з пункту відправлення м. Київ (Бориспіль) в м. Дубай здійснив проміжну</w:t>
      </w:r>
      <w:r w:rsidR="00D667CF" w:rsidRPr="006D3B9D">
        <w:rPr>
          <w:sz w:val="25"/>
          <w:szCs w:val="25"/>
        </w:rPr>
        <w:t xml:space="preserve"> </w:t>
      </w:r>
      <w:r w:rsidRPr="006D3B9D">
        <w:rPr>
          <w:sz w:val="25"/>
          <w:szCs w:val="25"/>
        </w:rPr>
        <w:t xml:space="preserve">посадку </w:t>
      </w:r>
      <w:r w:rsidR="000332E6" w:rsidRPr="006D3B9D">
        <w:rPr>
          <w:sz w:val="25"/>
          <w:szCs w:val="25"/>
        </w:rPr>
        <w:t>у</w:t>
      </w:r>
      <w:r w:rsidRPr="006D3B9D">
        <w:rPr>
          <w:sz w:val="25"/>
          <w:szCs w:val="25"/>
        </w:rPr>
        <w:t xml:space="preserve"> м.</w:t>
      </w:r>
      <w:r w:rsidR="000332E6" w:rsidRPr="006D3B9D">
        <w:rPr>
          <w:sz w:val="25"/>
          <w:szCs w:val="25"/>
        </w:rPr>
        <w:t> </w:t>
      </w:r>
      <w:r w:rsidRPr="006D3B9D">
        <w:rPr>
          <w:sz w:val="25"/>
          <w:szCs w:val="25"/>
        </w:rPr>
        <w:t>Шарм-ель-Шейк (</w:t>
      </w:r>
      <w:r w:rsidR="00D667CF" w:rsidRPr="006D3B9D">
        <w:rPr>
          <w:sz w:val="25"/>
          <w:szCs w:val="25"/>
        </w:rPr>
        <w:t>Єгипет</w:t>
      </w:r>
      <w:r w:rsidRPr="006D3B9D">
        <w:rPr>
          <w:sz w:val="25"/>
          <w:szCs w:val="25"/>
        </w:rPr>
        <w:t>), де відбулас</w:t>
      </w:r>
      <w:r w:rsidR="00665B1E" w:rsidRPr="006D3B9D">
        <w:rPr>
          <w:sz w:val="25"/>
          <w:szCs w:val="25"/>
        </w:rPr>
        <w:t>ь</w:t>
      </w:r>
      <w:r w:rsidRPr="006D3B9D">
        <w:rPr>
          <w:sz w:val="25"/>
          <w:szCs w:val="25"/>
        </w:rPr>
        <w:t xml:space="preserve"> висадка пасажирів</w:t>
      </w:r>
      <w:r w:rsidR="000332E6" w:rsidRPr="006D3B9D">
        <w:rPr>
          <w:sz w:val="25"/>
          <w:szCs w:val="25"/>
        </w:rPr>
        <w:t>,</w:t>
      </w:r>
      <w:r w:rsidRPr="006D3B9D">
        <w:rPr>
          <w:sz w:val="25"/>
          <w:szCs w:val="25"/>
        </w:rPr>
        <w:t xml:space="preserve"> серед яких були </w:t>
      </w:r>
      <w:proofErr w:type="spellStart"/>
      <w:r w:rsidRPr="006D3B9D">
        <w:rPr>
          <w:sz w:val="25"/>
          <w:szCs w:val="25"/>
        </w:rPr>
        <w:t>Kocoгop</w:t>
      </w:r>
      <w:proofErr w:type="spellEnd"/>
      <w:r w:rsidR="000332E6" w:rsidRPr="006D3B9D">
        <w:rPr>
          <w:sz w:val="25"/>
          <w:szCs w:val="25"/>
        </w:rPr>
        <w:t> </w:t>
      </w:r>
      <w:r w:rsidRPr="006D3B9D">
        <w:rPr>
          <w:sz w:val="25"/>
          <w:szCs w:val="25"/>
        </w:rPr>
        <w:t>О</w:t>
      </w:r>
      <w:r w:rsidR="000332E6" w:rsidRPr="006D3B9D">
        <w:rPr>
          <w:sz w:val="25"/>
          <w:szCs w:val="25"/>
        </w:rPr>
        <w:t>.М.</w:t>
      </w:r>
      <w:r w:rsidR="00D667CF" w:rsidRPr="006D3B9D">
        <w:rPr>
          <w:sz w:val="25"/>
          <w:szCs w:val="25"/>
        </w:rPr>
        <w:t xml:space="preserve"> </w:t>
      </w:r>
      <w:r w:rsidRPr="006D3B9D">
        <w:rPr>
          <w:sz w:val="25"/>
          <w:szCs w:val="25"/>
        </w:rPr>
        <w:t xml:space="preserve">та </w:t>
      </w:r>
      <w:r w:rsidR="00B637EF">
        <w:rPr>
          <w:sz w:val="25"/>
          <w:szCs w:val="25"/>
        </w:rPr>
        <w:t>ОСОБА_3</w:t>
      </w:r>
      <w:r w:rsidR="00716EE6" w:rsidRPr="006D3B9D">
        <w:rPr>
          <w:sz w:val="25"/>
          <w:szCs w:val="25"/>
        </w:rPr>
        <w:t>.</w:t>
      </w:r>
    </w:p>
    <w:p w14:paraId="261FE901" w14:textId="0BA08B9A" w:rsidR="00D667CF" w:rsidRPr="006D3B9D" w:rsidRDefault="002204C1" w:rsidP="00D667C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2021 році загальний грошовий дохід </w:t>
      </w:r>
      <w:r w:rsidR="00D667CF" w:rsidRPr="006D3B9D">
        <w:rPr>
          <w:sz w:val="25"/>
          <w:szCs w:val="25"/>
        </w:rPr>
        <w:t>сім’ї</w:t>
      </w:r>
      <w:r w:rsidRPr="006D3B9D">
        <w:rPr>
          <w:sz w:val="25"/>
          <w:szCs w:val="25"/>
        </w:rPr>
        <w:t xml:space="preserve"> кандидатки с</w:t>
      </w:r>
      <w:r w:rsidR="00D667CF" w:rsidRPr="006D3B9D">
        <w:rPr>
          <w:sz w:val="25"/>
          <w:szCs w:val="25"/>
        </w:rPr>
        <w:t>тановив</w:t>
      </w:r>
      <w:r w:rsidRPr="006D3B9D">
        <w:rPr>
          <w:sz w:val="25"/>
          <w:szCs w:val="25"/>
        </w:rPr>
        <w:t xml:space="preserve"> 288</w:t>
      </w:r>
      <w:r w:rsidR="00D667CF" w:rsidRPr="006D3B9D">
        <w:rPr>
          <w:sz w:val="25"/>
          <w:szCs w:val="25"/>
        </w:rPr>
        <w:t> </w:t>
      </w:r>
      <w:r w:rsidRPr="006D3B9D">
        <w:rPr>
          <w:sz w:val="25"/>
          <w:szCs w:val="25"/>
        </w:rPr>
        <w:t>271 грн за рахунок:</w:t>
      </w:r>
      <w:r w:rsidR="00D667CF" w:rsidRPr="006D3B9D">
        <w:rPr>
          <w:sz w:val="25"/>
          <w:szCs w:val="25"/>
        </w:rPr>
        <w:t xml:space="preserve"> </w:t>
      </w:r>
      <w:r w:rsidRPr="006D3B9D">
        <w:rPr>
          <w:sz w:val="25"/>
          <w:szCs w:val="25"/>
        </w:rPr>
        <w:t xml:space="preserve">доходу від </w:t>
      </w:r>
      <w:r w:rsidR="00D667CF" w:rsidRPr="006D3B9D">
        <w:rPr>
          <w:sz w:val="25"/>
          <w:szCs w:val="25"/>
        </w:rPr>
        <w:t>підприємницької</w:t>
      </w:r>
      <w:r w:rsidRPr="006D3B9D">
        <w:rPr>
          <w:sz w:val="25"/>
          <w:szCs w:val="25"/>
        </w:rPr>
        <w:t xml:space="preserve"> діяльність кандидатки </w:t>
      </w:r>
      <w:r w:rsidR="00716EE6" w:rsidRPr="006D3B9D">
        <w:rPr>
          <w:sz w:val="25"/>
          <w:szCs w:val="25"/>
        </w:rPr>
        <w:t>в</w:t>
      </w:r>
      <w:r w:rsidR="00D2572F" w:rsidRPr="006D3B9D">
        <w:rPr>
          <w:sz w:val="25"/>
          <w:szCs w:val="25"/>
        </w:rPr>
        <w:t xml:space="preserve"> розмірі</w:t>
      </w:r>
      <w:r w:rsidRPr="006D3B9D">
        <w:rPr>
          <w:sz w:val="25"/>
          <w:szCs w:val="25"/>
        </w:rPr>
        <w:t xml:space="preserve"> 90</w:t>
      </w:r>
      <w:r w:rsidR="00D2572F" w:rsidRPr="006D3B9D">
        <w:rPr>
          <w:sz w:val="25"/>
          <w:szCs w:val="25"/>
        </w:rPr>
        <w:t> </w:t>
      </w:r>
      <w:r w:rsidRPr="006D3B9D">
        <w:rPr>
          <w:sz w:val="25"/>
          <w:szCs w:val="25"/>
        </w:rPr>
        <w:t>000 грн</w:t>
      </w:r>
      <w:r w:rsidR="00716EE6" w:rsidRPr="006D3B9D">
        <w:rPr>
          <w:sz w:val="25"/>
          <w:szCs w:val="25"/>
        </w:rPr>
        <w:t>;</w:t>
      </w:r>
      <w:r w:rsidR="00D667CF" w:rsidRPr="006D3B9D">
        <w:rPr>
          <w:sz w:val="25"/>
          <w:szCs w:val="25"/>
        </w:rPr>
        <w:t xml:space="preserve"> </w:t>
      </w:r>
      <w:r w:rsidRPr="006D3B9D">
        <w:rPr>
          <w:sz w:val="25"/>
          <w:szCs w:val="25"/>
        </w:rPr>
        <w:t xml:space="preserve">пенсії кандидатки </w:t>
      </w:r>
      <w:r w:rsidR="00716EE6" w:rsidRPr="006D3B9D">
        <w:rPr>
          <w:sz w:val="25"/>
          <w:szCs w:val="25"/>
        </w:rPr>
        <w:t xml:space="preserve">— </w:t>
      </w:r>
      <w:r w:rsidRPr="006D3B9D">
        <w:rPr>
          <w:sz w:val="25"/>
          <w:szCs w:val="25"/>
        </w:rPr>
        <w:t>26</w:t>
      </w:r>
      <w:r w:rsidR="00684D01" w:rsidRPr="006D3B9D">
        <w:rPr>
          <w:sz w:val="25"/>
          <w:szCs w:val="25"/>
        </w:rPr>
        <w:t> </w:t>
      </w:r>
      <w:r w:rsidRPr="006D3B9D">
        <w:rPr>
          <w:sz w:val="25"/>
          <w:szCs w:val="25"/>
        </w:rPr>
        <w:t>200 грн</w:t>
      </w:r>
      <w:r w:rsidR="00716EE6" w:rsidRPr="006D3B9D">
        <w:rPr>
          <w:sz w:val="25"/>
          <w:szCs w:val="25"/>
        </w:rPr>
        <w:t>;</w:t>
      </w:r>
      <w:r w:rsidR="00D667CF" w:rsidRPr="006D3B9D">
        <w:rPr>
          <w:sz w:val="25"/>
          <w:szCs w:val="25"/>
        </w:rPr>
        <w:t xml:space="preserve"> </w:t>
      </w:r>
      <w:r w:rsidRPr="006D3B9D">
        <w:rPr>
          <w:sz w:val="25"/>
          <w:szCs w:val="25"/>
        </w:rPr>
        <w:t>заробітн</w:t>
      </w:r>
      <w:r w:rsidR="00D2572F" w:rsidRPr="006D3B9D">
        <w:rPr>
          <w:sz w:val="25"/>
          <w:szCs w:val="25"/>
        </w:rPr>
        <w:t>ої</w:t>
      </w:r>
      <w:r w:rsidRPr="006D3B9D">
        <w:rPr>
          <w:sz w:val="25"/>
          <w:szCs w:val="25"/>
        </w:rPr>
        <w:t xml:space="preserve"> плат</w:t>
      </w:r>
      <w:r w:rsidR="00123FF5" w:rsidRPr="006D3B9D">
        <w:rPr>
          <w:sz w:val="25"/>
          <w:szCs w:val="25"/>
        </w:rPr>
        <w:t>и</w:t>
      </w:r>
      <w:r w:rsidRPr="006D3B9D">
        <w:rPr>
          <w:sz w:val="25"/>
          <w:szCs w:val="25"/>
        </w:rPr>
        <w:t xml:space="preserve"> чоловіка кандидатки — 52</w:t>
      </w:r>
      <w:r w:rsidR="00D2572F" w:rsidRPr="006D3B9D">
        <w:rPr>
          <w:sz w:val="25"/>
          <w:szCs w:val="25"/>
        </w:rPr>
        <w:t> </w:t>
      </w:r>
      <w:r w:rsidRPr="006D3B9D">
        <w:rPr>
          <w:sz w:val="25"/>
          <w:szCs w:val="25"/>
        </w:rPr>
        <w:t>071 грн</w:t>
      </w:r>
      <w:r w:rsidR="00716EE6" w:rsidRPr="006D3B9D">
        <w:rPr>
          <w:sz w:val="25"/>
          <w:szCs w:val="25"/>
        </w:rPr>
        <w:t>;</w:t>
      </w:r>
      <w:r w:rsidR="00D667CF" w:rsidRPr="006D3B9D">
        <w:rPr>
          <w:sz w:val="25"/>
          <w:szCs w:val="25"/>
        </w:rPr>
        <w:t xml:space="preserve"> </w:t>
      </w:r>
      <w:r w:rsidRPr="006D3B9D">
        <w:rPr>
          <w:sz w:val="25"/>
          <w:szCs w:val="25"/>
        </w:rPr>
        <w:t>дох</w:t>
      </w:r>
      <w:r w:rsidR="00716EE6" w:rsidRPr="006D3B9D">
        <w:rPr>
          <w:sz w:val="25"/>
          <w:szCs w:val="25"/>
        </w:rPr>
        <w:t>о</w:t>
      </w:r>
      <w:r w:rsidRPr="006D3B9D">
        <w:rPr>
          <w:sz w:val="25"/>
          <w:szCs w:val="25"/>
        </w:rPr>
        <w:t>д</w:t>
      </w:r>
      <w:r w:rsidR="00716EE6" w:rsidRPr="006D3B9D">
        <w:rPr>
          <w:sz w:val="25"/>
          <w:szCs w:val="25"/>
        </w:rPr>
        <w:t>у</w:t>
      </w:r>
      <w:r w:rsidRPr="006D3B9D">
        <w:rPr>
          <w:sz w:val="25"/>
          <w:szCs w:val="25"/>
        </w:rPr>
        <w:t xml:space="preserve"> від продажу автомобіля </w:t>
      </w:r>
      <w:r w:rsidR="00D667CF" w:rsidRPr="006D3B9D">
        <w:rPr>
          <w:sz w:val="25"/>
          <w:szCs w:val="25"/>
        </w:rPr>
        <w:t>марки «</w:t>
      </w:r>
      <w:r w:rsidRPr="006D3B9D">
        <w:rPr>
          <w:sz w:val="25"/>
          <w:szCs w:val="25"/>
        </w:rPr>
        <w:t>VOLKSWAGEN PASSAT</w:t>
      </w:r>
      <w:r w:rsidR="00D667CF" w:rsidRPr="006D3B9D">
        <w:rPr>
          <w:sz w:val="25"/>
          <w:szCs w:val="25"/>
        </w:rPr>
        <w:t>»</w:t>
      </w:r>
      <w:r w:rsidRPr="006D3B9D">
        <w:rPr>
          <w:sz w:val="25"/>
          <w:szCs w:val="25"/>
        </w:rPr>
        <w:t xml:space="preserve"> 2008</w:t>
      </w:r>
      <w:r w:rsidR="00D667CF" w:rsidRPr="006D3B9D">
        <w:rPr>
          <w:sz w:val="25"/>
          <w:szCs w:val="25"/>
        </w:rPr>
        <w:t xml:space="preserve"> </w:t>
      </w:r>
      <w:r w:rsidRPr="006D3B9D">
        <w:rPr>
          <w:sz w:val="25"/>
          <w:szCs w:val="25"/>
        </w:rPr>
        <w:t>р</w:t>
      </w:r>
      <w:r w:rsidR="00D667CF" w:rsidRPr="006D3B9D">
        <w:rPr>
          <w:sz w:val="25"/>
          <w:szCs w:val="25"/>
        </w:rPr>
        <w:t>оку</w:t>
      </w:r>
      <w:r w:rsidRPr="006D3B9D">
        <w:rPr>
          <w:sz w:val="25"/>
          <w:szCs w:val="25"/>
        </w:rPr>
        <w:t xml:space="preserve"> в</w:t>
      </w:r>
      <w:r w:rsidR="00D667CF" w:rsidRPr="006D3B9D">
        <w:rPr>
          <w:sz w:val="25"/>
          <w:szCs w:val="25"/>
        </w:rPr>
        <w:t>ипуску</w:t>
      </w:r>
      <w:r w:rsidR="00716EE6" w:rsidRPr="006D3B9D">
        <w:rPr>
          <w:sz w:val="25"/>
          <w:szCs w:val="25"/>
        </w:rPr>
        <w:t xml:space="preserve"> </w:t>
      </w:r>
      <w:r w:rsidRPr="006D3B9D">
        <w:rPr>
          <w:sz w:val="25"/>
          <w:szCs w:val="25"/>
        </w:rPr>
        <w:t>—</w:t>
      </w:r>
      <w:r w:rsidR="00716EE6" w:rsidRPr="006D3B9D">
        <w:rPr>
          <w:sz w:val="25"/>
          <w:szCs w:val="25"/>
        </w:rPr>
        <w:t xml:space="preserve"> </w:t>
      </w:r>
      <w:r w:rsidRPr="006D3B9D">
        <w:rPr>
          <w:sz w:val="25"/>
          <w:szCs w:val="25"/>
        </w:rPr>
        <w:t>120</w:t>
      </w:r>
      <w:r w:rsidR="00716EE6" w:rsidRPr="006D3B9D">
        <w:rPr>
          <w:sz w:val="25"/>
          <w:szCs w:val="25"/>
        </w:rPr>
        <w:t> </w:t>
      </w:r>
      <w:r w:rsidRPr="006D3B9D">
        <w:rPr>
          <w:sz w:val="25"/>
          <w:szCs w:val="25"/>
        </w:rPr>
        <w:t>000</w:t>
      </w:r>
      <w:r w:rsidR="00716EE6" w:rsidRPr="006D3B9D">
        <w:rPr>
          <w:sz w:val="25"/>
          <w:szCs w:val="25"/>
        </w:rPr>
        <w:t> </w:t>
      </w:r>
      <w:r w:rsidRPr="006D3B9D">
        <w:rPr>
          <w:sz w:val="25"/>
          <w:szCs w:val="25"/>
        </w:rPr>
        <w:t>г</w:t>
      </w:r>
      <w:r w:rsidR="00D2572F" w:rsidRPr="006D3B9D">
        <w:rPr>
          <w:sz w:val="25"/>
          <w:szCs w:val="25"/>
        </w:rPr>
        <w:t>ривень.</w:t>
      </w:r>
    </w:p>
    <w:p w14:paraId="01278DCF" w14:textId="63C0209D"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Витрати на забезпечення базових потреб </w:t>
      </w:r>
      <w:r w:rsidR="00D667CF" w:rsidRPr="006D3B9D">
        <w:rPr>
          <w:sz w:val="25"/>
          <w:szCs w:val="25"/>
        </w:rPr>
        <w:t>сім’ї</w:t>
      </w:r>
      <w:r w:rsidRPr="006D3B9D">
        <w:rPr>
          <w:sz w:val="25"/>
          <w:szCs w:val="25"/>
        </w:rPr>
        <w:t xml:space="preserve"> з 3-x </w:t>
      </w:r>
      <w:r w:rsidR="00D667CF" w:rsidRPr="006D3B9D">
        <w:rPr>
          <w:sz w:val="25"/>
          <w:szCs w:val="25"/>
        </w:rPr>
        <w:t>осіб</w:t>
      </w:r>
      <w:r w:rsidRPr="006D3B9D">
        <w:rPr>
          <w:sz w:val="25"/>
          <w:szCs w:val="25"/>
        </w:rPr>
        <w:t xml:space="preserve"> на рівні прожиткового мінімуму</w:t>
      </w:r>
      <w:r w:rsidR="00D667CF" w:rsidRPr="006D3B9D">
        <w:rPr>
          <w:sz w:val="25"/>
          <w:szCs w:val="25"/>
        </w:rPr>
        <w:t xml:space="preserve"> </w:t>
      </w:r>
      <w:r w:rsidRPr="006D3B9D">
        <w:rPr>
          <w:sz w:val="25"/>
          <w:szCs w:val="25"/>
        </w:rPr>
        <w:t>за 2021 рік не могли с</w:t>
      </w:r>
      <w:r w:rsidR="00716EE6" w:rsidRPr="006D3B9D">
        <w:rPr>
          <w:sz w:val="25"/>
          <w:szCs w:val="25"/>
        </w:rPr>
        <w:t>тановити</w:t>
      </w:r>
      <w:r w:rsidRPr="006D3B9D">
        <w:rPr>
          <w:sz w:val="25"/>
          <w:szCs w:val="25"/>
        </w:rPr>
        <w:t xml:space="preserve"> менше ніж 79</w:t>
      </w:r>
      <w:r w:rsidR="00D667CF" w:rsidRPr="006D3B9D">
        <w:rPr>
          <w:sz w:val="25"/>
          <w:szCs w:val="25"/>
        </w:rPr>
        <w:t> </w:t>
      </w:r>
      <w:r w:rsidRPr="006D3B9D">
        <w:rPr>
          <w:sz w:val="25"/>
          <w:szCs w:val="25"/>
        </w:rPr>
        <w:t xml:space="preserve">026 грн (2 270 грн х 3 </w:t>
      </w:r>
      <w:r w:rsidR="00C279A2" w:rsidRPr="006D3B9D">
        <w:rPr>
          <w:sz w:val="25"/>
          <w:szCs w:val="25"/>
        </w:rPr>
        <w:t>особи</w:t>
      </w:r>
      <w:r w:rsidRPr="006D3B9D">
        <w:rPr>
          <w:sz w:val="25"/>
          <w:szCs w:val="25"/>
        </w:rPr>
        <w:t xml:space="preserve"> х 6 міс</w:t>
      </w:r>
      <w:r w:rsidR="00716EE6" w:rsidRPr="006D3B9D">
        <w:rPr>
          <w:sz w:val="25"/>
          <w:szCs w:val="25"/>
        </w:rPr>
        <w:t>яців</w:t>
      </w:r>
      <w:r w:rsidRPr="006D3B9D">
        <w:rPr>
          <w:sz w:val="25"/>
          <w:szCs w:val="25"/>
        </w:rPr>
        <w:t xml:space="preserve">= 40 860 грн) + (2 379 грн х 3 </w:t>
      </w:r>
      <w:r w:rsidR="00C279A2" w:rsidRPr="006D3B9D">
        <w:rPr>
          <w:sz w:val="25"/>
          <w:szCs w:val="25"/>
        </w:rPr>
        <w:t>особи</w:t>
      </w:r>
      <w:r w:rsidRPr="006D3B9D">
        <w:rPr>
          <w:sz w:val="25"/>
          <w:szCs w:val="25"/>
        </w:rPr>
        <w:t xml:space="preserve"> х 5 міс</w:t>
      </w:r>
      <w:r w:rsidR="00716EE6" w:rsidRPr="006D3B9D">
        <w:rPr>
          <w:sz w:val="25"/>
          <w:szCs w:val="25"/>
        </w:rPr>
        <w:t>яців</w:t>
      </w:r>
      <w:r w:rsidRPr="006D3B9D">
        <w:rPr>
          <w:sz w:val="25"/>
          <w:szCs w:val="25"/>
        </w:rPr>
        <w:t xml:space="preserve"> = 35</w:t>
      </w:r>
      <w:r w:rsidR="000820C1" w:rsidRPr="006D3B9D">
        <w:rPr>
          <w:sz w:val="25"/>
          <w:szCs w:val="25"/>
        </w:rPr>
        <w:t> </w:t>
      </w:r>
      <w:r w:rsidRPr="006D3B9D">
        <w:rPr>
          <w:sz w:val="25"/>
          <w:szCs w:val="25"/>
        </w:rPr>
        <w:t>685</w:t>
      </w:r>
      <w:r w:rsidR="000820C1" w:rsidRPr="006D3B9D">
        <w:rPr>
          <w:sz w:val="25"/>
          <w:szCs w:val="25"/>
        </w:rPr>
        <w:t xml:space="preserve"> </w:t>
      </w:r>
      <w:r w:rsidRPr="006D3B9D">
        <w:rPr>
          <w:sz w:val="25"/>
          <w:szCs w:val="25"/>
        </w:rPr>
        <w:t xml:space="preserve">грн) + </w:t>
      </w:r>
      <w:r w:rsidR="00716EE6" w:rsidRPr="006D3B9D">
        <w:rPr>
          <w:sz w:val="25"/>
          <w:szCs w:val="25"/>
        </w:rPr>
        <w:t>(</w:t>
      </w:r>
      <w:r w:rsidRPr="006D3B9D">
        <w:rPr>
          <w:sz w:val="25"/>
          <w:szCs w:val="25"/>
        </w:rPr>
        <w:t>2</w:t>
      </w:r>
      <w:r w:rsidR="00221679" w:rsidRPr="006D3B9D">
        <w:rPr>
          <w:sz w:val="25"/>
          <w:szCs w:val="25"/>
        </w:rPr>
        <w:t> </w:t>
      </w:r>
      <w:r w:rsidRPr="006D3B9D">
        <w:rPr>
          <w:sz w:val="25"/>
          <w:szCs w:val="25"/>
        </w:rPr>
        <w:t>481</w:t>
      </w:r>
      <w:r w:rsidR="00221679" w:rsidRPr="006D3B9D">
        <w:rPr>
          <w:sz w:val="25"/>
          <w:szCs w:val="25"/>
        </w:rPr>
        <w:t> </w:t>
      </w:r>
      <w:r w:rsidRPr="006D3B9D">
        <w:rPr>
          <w:sz w:val="25"/>
          <w:szCs w:val="25"/>
        </w:rPr>
        <w:t>грн)</w:t>
      </w:r>
      <w:r w:rsidR="000820C1" w:rsidRPr="006D3B9D">
        <w:rPr>
          <w:sz w:val="25"/>
          <w:szCs w:val="25"/>
        </w:rPr>
        <w:t>.</w:t>
      </w:r>
    </w:p>
    <w:p w14:paraId="1B683BA3" w14:textId="77751296"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2021 році загальний розмір грошових коштів </w:t>
      </w:r>
      <w:r w:rsidR="000820C1" w:rsidRPr="006D3B9D">
        <w:rPr>
          <w:sz w:val="25"/>
          <w:szCs w:val="25"/>
        </w:rPr>
        <w:t>сім’ї</w:t>
      </w:r>
      <w:r w:rsidRPr="006D3B9D">
        <w:rPr>
          <w:sz w:val="25"/>
          <w:szCs w:val="25"/>
        </w:rPr>
        <w:t xml:space="preserve"> кандидатки</w:t>
      </w:r>
      <w:r w:rsidR="00716EE6" w:rsidRPr="006D3B9D">
        <w:rPr>
          <w:sz w:val="25"/>
          <w:szCs w:val="25"/>
        </w:rPr>
        <w:t>,</w:t>
      </w:r>
      <w:r w:rsidRPr="006D3B9D">
        <w:rPr>
          <w:sz w:val="25"/>
          <w:szCs w:val="25"/>
        </w:rPr>
        <w:t xml:space="preserve"> доступних до</w:t>
      </w:r>
      <w:r w:rsidR="000820C1" w:rsidRPr="006D3B9D">
        <w:rPr>
          <w:sz w:val="25"/>
          <w:szCs w:val="25"/>
        </w:rPr>
        <w:t xml:space="preserve"> </w:t>
      </w:r>
      <w:r w:rsidRPr="006D3B9D">
        <w:rPr>
          <w:sz w:val="25"/>
          <w:szCs w:val="25"/>
        </w:rPr>
        <w:t>розпорядження</w:t>
      </w:r>
      <w:r w:rsidR="00716EE6" w:rsidRPr="006D3B9D">
        <w:rPr>
          <w:sz w:val="25"/>
          <w:szCs w:val="25"/>
        </w:rPr>
        <w:t>,</w:t>
      </w:r>
      <w:r w:rsidRPr="006D3B9D">
        <w:rPr>
          <w:sz w:val="25"/>
          <w:szCs w:val="25"/>
        </w:rPr>
        <w:t xml:space="preserve"> с</w:t>
      </w:r>
      <w:r w:rsidR="000820C1" w:rsidRPr="006D3B9D">
        <w:rPr>
          <w:sz w:val="25"/>
          <w:szCs w:val="25"/>
        </w:rPr>
        <w:t>тановив</w:t>
      </w:r>
      <w:r w:rsidRPr="006D3B9D">
        <w:rPr>
          <w:sz w:val="25"/>
          <w:szCs w:val="25"/>
        </w:rPr>
        <w:t xml:space="preserve"> 209</w:t>
      </w:r>
      <w:r w:rsidR="00C279A2" w:rsidRPr="006D3B9D">
        <w:rPr>
          <w:sz w:val="25"/>
          <w:szCs w:val="25"/>
        </w:rPr>
        <w:t> </w:t>
      </w:r>
      <w:r w:rsidRPr="006D3B9D">
        <w:rPr>
          <w:sz w:val="25"/>
          <w:szCs w:val="25"/>
        </w:rPr>
        <w:t>245</w:t>
      </w:r>
      <w:r w:rsidR="00C279A2" w:rsidRPr="006D3B9D">
        <w:rPr>
          <w:sz w:val="25"/>
          <w:szCs w:val="25"/>
        </w:rPr>
        <w:t xml:space="preserve"> </w:t>
      </w:r>
      <w:r w:rsidRPr="006D3B9D">
        <w:rPr>
          <w:sz w:val="25"/>
          <w:szCs w:val="25"/>
        </w:rPr>
        <w:t>грн (після виключення сум на забезпечення мінімальних базових</w:t>
      </w:r>
      <w:r w:rsidR="000820C1" w:rsidRPr="006D3B9D">
        <w:rPr>
          <w:sz w:val="25"/>
          <w:szCs w:val="25"/>
        </w:rPr>
        <w:t xml:space="preserve"> </w:t>
      </w:r>
      <w:r w:rsidRPr="006D3B9D">
        <w:rPr>
          <w:sz w:val="25"/>
          <w:szCs w:val="25"/>
        </w:rPr>
        <w:t xml:space="preserve">потреб </w:t>
      </w:r>
      <w:r w:rsidR="000820C1" w:rsidRPr="006D3B9D">
        <w:rPr>
          <w:sz w:val="25"/>
          <w:szCs w:val="25"/>
        </w:rPr>
        <w:t>сім’ї</w:t>
      </w:r>
      <w:r w:rsidR="00716EE6" w:rsidRPr="006D3B9D">
        <w:rPr>
          <w:sz w:val="25"/>
          <w:szCs w:val="25"/>
        </w:rPr>
        <w:t>:</w:t>
      </w:r>
      <w:r w:rsidRPr="006D3B9D">
        <w:rPr>
          <w:sz w:val="25"/>
          <w:szCs w:val="25"/>
        </w:rPr>
        <w:t xml:space="preserve"> 288</w:t>
      </w:r>
      <w:r w:rsidR="000820C1" w:rsidRPr="006D3B9D">
        <w:rPr>
          <w:sz w:val="25"/>
          <w:szCs w:val="25"/>
        </w:rPr>
        <w:t> </w:t>
      </w:r>
      <w:r w:rsidRPr="006D3B9D">
        <w:rPr>
          <w:sz w:val="25"/>
          <w:szCs w:val="25"/>
        </w:rPr>
        <w:t>271</w:t>
      </w:r>
      <w:r w:rsidR="000820C1" w:rsidRPr="006D3B9D">
        <w:rPr>
          <w:sz w:val="25"/>
          <w:szCs w:val="25"/>
        </w:rPr>
        <w:t xml:space="preserve"> </w:t>
      </w:r>
      <w:r w:rsidRPr="006D3B9D">
        <w:rPr>
          <w:sz w:val="25"/>
          <w:szCs w:val="25"/>
        </w:rPr>
        <w:t>грн — 79 026 грн = 209</w:t>
      </w:r>
      <w:r w:rsidR="000820C1" w:rsidRPr="006D3B9D">
        <w:rPr>
          <w:sz w:val="25"/>
          <w:szCs w:val="25"/>
        </w:rPr>
        <w:t> </w:t>
      </w:r>
      <w:r w:rsidRPr="006D3B9D">
        <w:rPr>
          <w:sz w:val="25"/>
          <w:szCs w:val="25"/>
        </w:rPr>
        <w:t>245</w:t>
      </w:r>
      <w:r w:rsidR="000820C1" w:rsidRPr="006D3B9D">
        <w:rPr>
          <w:sz w:val="25"/>
          <w:szCs w:val="25"/>
        </w:rPr>
        <w:t xml:space="preserve"> </w:t>
      </w:r>
      <w:r w:rsidRPr="006D3B9D">
        <w:rPr>
          <w:sz w:val="25"/>
          <w:szCs w:val="25"/>
        </w:rPr>
        <w:t>грн).</w:t>
      </w:r>
    </w:p>
    <w:p w14:paraId="597C9FEB" w14:textId="12DD5E1A"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Окрім цього, на почат</w:t>
      </w:r>
      <w:r w:rsidR="00716EE6" w:rsidRPr="006D3B9D">
        <w:rPr>
          <w:sz w:val="25"/>
          <w:szCs w:val="25"/>
        </w:rPr>
        <w:t>ку</w:t>
      </w:r>
      <w:r w:rsidRPr="006D3B9D">
        <w:rPr>
          <w:sz w:val="25"/>
          <w:szCs w:val="25"/>
        </w:rPr>
        <w:t xml:space="preserve"> 2021 року </w:t>
      </w:r>
      <w:r w:rsidR="00716EE6" w:rsidRPr="006D3B9D">
        <w:rPr>
          <w:sz w:val="25"/>
          <w:szCs w:val="25"/>
        </w:rPr>
        <w:t>в</w:t>
      </w:r>
      <w:r w:rsidRPr="006D3B9D">
        <w:rPr>
          <w:sz w:val="25"/>
          <w:szCs w:val="25"/>
        </w:rPr>
        <w:t xml:space="preserve"> розпорядженні </w:t>
      </w:r>
      <w:r w:rsidR="000820C1" w:rsidRPr="006D3B9D">
        <w:rPr>
          <w:sz w:val="25"/>
          <w:szCs w:val="25"/>
        </w:rPr>
        <w:t>сім’ї</w:t>
      </w:r>
      <w:r w:rsidRPr="006D3B9D">
        <w:rPr>
          <w:sz w:val="25"/>
          <w:szCs w:val="25"/>
        </w:rPr>
        <w:t xml:space="preserve"> кандидатки були накопичення від</w:t>
      </w:r>
      <w:r w:rsidR="000820C1" w:rsidRPr="006D3B9D">
        <w:rPr>
          <w:sz w:val="25"/>
          <w:szCs w:val="25"/>
        </w:rPr>
        <w:t xml:space="preserve"> </w:t>
      </w:r>
      <w:r w:rsidRPr="006D3B9D">
        <w:rPr>
          <w:sz w:val="25"/>
          <w:szCs w:val="25"/>
        </w:rPr>
        <w:t xml:space="preserve">грошового доходу </w:t>
      </w:r>
      <w:r w:rsidR="000820C1" w:rsidRPr="006D3B9D">
        <w:rPr>
          <w:sz w:val="25"/>
          <w:szCs w:val="25"/>
        </w:rPr>
        <w:t>сім’ї</w:t>
      </w:r>
      <w:r w:rsidRPr="006D3B9D">
        <w:rPr>
          <w:sz w:val="25"/>
          <w:szCs w:val="25"/>
        </w:rPr>
        <w:t xml:space="preserve"> за 2019</w:t>
      </w:r>
      <w:r w:rsidR="00716EE6" w:rsidRPr="006D3B9D">
        <w:rPr>
          <w:sz w:val="25"/>
          <w:szCs w:val="25"/>
        </w:rPr>
        <w:t>—</w:t>
      </w:r>
      <w:r w:rsidRPr="006D3B9D">
        <w:rPr>
          <w:sz w:val="25"/>
          <w:szCs w:val="25"/>
        </w:rPr>
        <w:t>20</w:t>
      </w:r>
      <w:r w:rsidR="00C279A2" w:rsidRPr="006D3B9D">
        <w:rPr>
          <w:sz w:val="25"/>
          <w:szCs w:val="25"/>
        </w:rPr>
        <w:t>2</w:t>
      </w:r>
      <w:r w:rsidRPr="006D3B9D">
        <w:rPr>
          <w:sz w:val="25"/>
          <w:szCs w:val="25"/>
        </w:rPr>
        <w:t xml:space="preserve">0 роки </w:t>
      </w:r>
      <w:r w:rsidR="00716EE6" w:rsidRPr="006D3B9D">
        <w:rPr>
          <w:sz w:val="25"/>
          <w:szCs w:val="25"/>
        </w:rPr>
        <w:t>в</w:t>
      </w:r>
      <w:r w:rsidRPr="006D3B9D">
        <w:rPr>
          <w:sz w:val="25"/>
          <w:szCs w:val="25"/>
        </w:rPr>
        <w:t xml:space="preserve"> розмірі</w:t>
      </w:r>
      <w:r w:rsidR="00716EE6" w:rsidRPr="006D3B9D">
        <w:rPr>
          <w:sz w:val="25"/>
          <w:szCs w:val="25"/>
        </w:rPr>
        <w:t>,</w:t>
      </w:r>
      <w:r w:rsidRPr="006D3B9D">
        <w:rPr>
          <w:sz w:val="25"/>
          <w:szCs w:val="25"/>
        </w:rPr>
        <w:t xml:space="preserve"> не більшому ніж 325</w:t>
      </w:r>
      <w:r w:rsidR="000820C1" w:rsidRPr="006D3B9D">
        <w:rPr>
          <w:sz w:val="25"/>
          <w:szCs w:val="25"/>
        </w:rPr>
        <w:t> </w:t>
      </w:r>
      <w:r w:rsidRPr="006D3B9D">
        <w:rPr>
          <w:sz w:val="25"/>
          <w:szCs w:val="25"/>
        </w:rPr>
        <w:t>531,50 грн, а тому</w:t>
      </w:r>
      <w:r w:rsidR="000820C1" w:rsidRPr="006D3B9D">
        <w:rPr>
          <w:sz w:val="25"/>
          <w:szCs w:val="25"/>
        </w:rPr>
        <w:t xml:space="preserve"> </w:t>
      </w:r>
      <w:r w:rsidRPr="006D3B9D">
        <w:rPr>
          <w:sz w:val="25"/>
          <w:szCs w:val="25"/>
        </w:rPr>
        <w:t xml:space="preserve">загальна сума коштів, що була доступна для здійснення витрат, які не </w:t>
      </w:r>
      <w:r w:rsidR="000820C1" w:rsidRPr="006D3B9D">
        <w:rPr>
          <w:sz w:val="25"/>
          <w:szCs w:val="25"/>
        </w:rPr>
        <w:t>пов’язані</w:t>
      </w:r>
      <w:r w:rsidRPr="006D3B9D">
        <w:rPr>
          <w:sz w:val="25"/>
          <w:szCs w:val="25"/>
        </w:rPr>
        <w:t xml:space="preserve"> </w:t>
      </w:r>
      <w:r w:rsidR="00716EE6" w:rsidRPr="006D3B9D">
        <w:rPr>
          <w:sz w:val="25"/>
          <w:szCs w:val="25"/>
        </w:rPr>
        <w:t>і</w:t>
      </w:r>
      <w:r w:rsidRPr="006D3B9D">
        <w:rPr>
          <w:sz w:val="25"/>
          <w:szCs w:val="25"/>
        </w:rPr>
        <w:t>з забезпеченням</w:t>
      </w:r>
      <w:r w:rsidR="000820C1" w:rsidRPr="006D3B9D">
        <w:rPr>
          <w:sz w:val="25"/>
          <w:szCs w:val="25"/>
        </w:rPr>
        <w:t xml:space="preserve"> </w:t>
      </w:r>
      <w:r w:rsidRPr="006D3B9D">
        <w:rPr>
          <w:sz w:val="25"/>
          <w:szCs w:val="25"/>
        </w:rPr>
        <w:t xml:space="preserve">мінімальних базових потреб </w:t>
      </w:r>
      <w:r w:rsidR="000820C1" w:rsidRPr="006D3B9D">
        <w:rPr>
          <w:sz w:val="25"/>
          <w:szCs w:val="25"/>
        </w:rPr>
        <w:t>сім’ї</w:t>
      </w:r>
      <w:r w:rsidR="00716EE6" w:rsidRPr="006D3B9D">
        <w:rPr>
          <w:sz w:val="25"/>
          <w:szCs w:val="25"/>
        </w:rPr>
        <w:t xml:space="preserve">, </w:t>
      </w:r>
      <w:r w:rsidRPr="006D3B9D">
        <w:rPr>
          <w:sz w:val="25"/>
          <w:szCs w:val="25"/>
        </w:rPr>
        <w:t>с</w:t>
      </w:r>
      <w:r w:rsidR="000820C1" w:rsidRPr="006D3B9D">
        <w:rPr>
          <w:sz w:val="25"/>
          <w:szCs w:val="25"/>
        </w:rPr>
        <w:t>танови</w:t>
      </w:r>
      <w:r w:rsidR="00716EE6" w:rsidRPr="006D3B9D">
        <w:rPr>
          <w:sz w:val="25"/>
          <w:szCs w:val="25"/>
        </w:rPr>
        <w:t>ла</w:t>
      </w:r>
      <w:r w:rsidRPr="006D3B9D">
        <w:rPr>
          <w:sz w:val="25"/>
          <w:szCs w:val="25"/>
        </w:rPr>
        <w:t xml:space="preserve"> 534</w:t>
      </w:r>
      <w:r w:rsidR="000820C1" w:rsidRPr="006D3B9D">
        <w:rPr>
          <w:sz w:val="25"/>
          <w:szCs w:val="25"/>
        </w:rPr>
        <w:t> </w:t>
      </w:r>
      <w:r w:rsidRPr="006D3B9D">
        <w:rPr>
          <w:sz w:val="25"/>
          <w:szCs w:val="25"/>
        </w:rPr>
        <w:t>776, 50 грн (209</w:t>
      </w:r>
      <w:r w:rsidR="00C279A2" w:rsidRPr="006D3B9D">
        <w:rPr>
          <w:sz w:val="25"/>
          <w:szCs w:val="25"/>
        </w:rPr>
        <w:t> </w:t>
      </w:r>
      <w:r w:rsidRPr="006D3B9D">
        <w:rPr>
          <w:sz w:val="25"/>
          <w:szCs w:val="25"/>
        </w:rPr>
        <w:t>245</w:t>
      </w:r>
      <w:r w:rsidR="00C279A2" w:rsidRPr="006D3B9D">
        <w:rPr>
          <w:sz w:val="25"/>
          <w:szCs w:val="25"/>
        </w:rPr>
        <w:t xml:space="preserve"> </w:t>
      </w:r>
      <w:r w:rsidRPr="006D3B9D">
        <w:rPr>
          <w:sz w:val="25"/>
          <w:szCs w:val="25"/>
        </w:rPr>
        <w:t>грн + 325 531, 50 грн).</w:t>
      </w:r>
    </w:p>
    <w:p w14:paraId="2F82D910" w14:textId="683A2A57"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Витрати</w:t>
      </w:r>
      <w:r w:rsidR="00716EE6" w:rsidRPr="006D3B9D">
        <w:rPr>
          <w:sz w:val="25"/>
          <w:szCs w:val="25"/>
        </w:rPr>
        <w:t>,</w:t>
      </w:r>
      <w:r w:rsidRPr="006D3B9D">
        <w:rPr>
          <w:sz w:val="25"/>
          <w:szCs w:val="25"/>
        </w:rPr>
        <w:t xml:space="preserve"> здійснені у 2021 році</w:t>
      </w:r>
      <w:r w:rsidR="00716EE6" w:rsidRPr="006D3B9D">
        <w:rPr>
          <w:sz w:val="25"/>
          <w:szCs w:val="25"/>
        </w:rPr>
        <w:t>,</w:t>
      </w:r>
      <w:r w:rsidRPr="006D3B9D">
        <w:rPr>
          <w:sz w:val="25"/>
          <w:szCs w:val="25"/>
        </w:rPr>
        <w:t xml:space="preserve"> с</w:t>
      </w:r>
      <w:r w:rsidR="000820C1" w:rsidRPr="006D3B9D">
        <w:rPr>
          <w:sz w:val="25"/>
          <w:szCs w:val="25"/>
        </w:rPr>
        <w:t>тановили</w:t>
      </w:r>
      <w:r w:rsidRPr="006D3B9D">
        <w:rPr>
          <w:sz w:val="25"/>
          <w:szCs w:val="25"/>
        </w:rPr>
        <w:t xml:space="preserve"> 277</w:t>
      </w:r>
      <w:r w:rsidR="000820C1" w:rsidRPr="006D3B9D">
        <w:rPr>
          <w:sz w:val="25"/>
          <w:szCs w:val="25"/>
        </w:rPr>
        <w:t> </w:t>
      </w:r>
      <w:r w:rsidRPr="006D3B9D">
        <w:rPr>
          <w:sz w:val="25"/>
          <w:szCs w:val="25"/>
        </w:rPr>
        <w:t>471 грн:</w:t>
      </w:r>
      <w:r w:rsidR="00716EE6" w:rsidRPr="006D3B9D">
        <w:rPr>
          <w:sz w:val="25"/>
          <w:szCs w:val="25"/>
        </w:rPr>
        <w:t xml:space="preserve"> </w:t>
      </w:r>
      <w:r w:rsidRPr="006D3B9D">
        <w:rPr>
          <w:sz w:val="25"/>
          <w:szCs w:val="25"/>
        </w:rPr>
        <w:t xml:space="preserve">130 000 грн (вартість розмитнення </w:t>
      </w:r>
      <w:r w:rsidR="000820C1" w:rsidRPr="006D3B9D">
        <w:rPr>
          <w:sz w:val="25"/>
          <w:szCs w:val="25"/>
        </w:rPr>
        <w:t>автомобіля марки «</w:t>
      </w:r>
      <w:r w:rsidRPr="006D3B9D">
        <w:rPr>
          <w:sz w:val="25"/>
          <w:szCs w:val="25"/>
        </w:rPr>
        <w:t>VOLKSWAGEN TIGUAN</w:t>
      </w:r>
      <w:r w:rsidR="000820C1" w:rsidRPr="006D3B9D">
        <w:rPr>
          <w:sz w:val="25"/>
          <w:szCs w:val="25"/>
        </w:rPr>
        <w:t>»</w:t>
      </w:r>
      <w:r w:rsidRPr="006D3B9D">
        <w:rPr>
          <w:sz w:val="25"/>
          <w:szCs w:val="25"/>
        </w:rPr>
        <w:t>)</w:t>
      </w:r>
      <w:r w:rsidR="000820C1" w:rsidRPr="006D3B9D">
        <w:rPr>
          <w:sz w:val="25"/>
          <w:szCs w:val="25"/>
        </w:rPr>
        <w:t xml:space="preserve">, </w:t>
      </w:r>
      <w:r w:rsidRPr="006D3B9D">
        <w:rPr>
          <w:sz w:val="25"/>
          <w:szCs w:val="25"/>
        </w:rPr>
        <w:t>127</w:t>
      </w:r>
      <w:r w:rsidR="000820C1" w:rsidRPr="006D3B9D">
        <w:rPr>
          <w:sz w:val="25"/>
          <w:szCs w:val="25"/>
        </w:rPr>
        <w:t> </w:t>
      </w:r>
      <w:r w:rsidRPr="006D3B9D">
        <w:rPr>
          <w:sz w:val="25"/>
          <w:szCs w:val="25"/>
        </w:rPr>
        <w:t xml:space="preserve">071 грн (вартість мотоцикла </w:t>
      </w:r>
      <w:r w:rsidR="000820C1" w:rsidRPr="006D3B9D">
        <w:rPr>
          <w:sz w:val="25"/>
          <w:szCs w:val="25"/>
        </w:rPr>
        <w:t>марки «</w:t>
      </w:r>
      <w:r w:rsidRPr="006D3B9D">
        <w:rPr>
          <w:sz w:val="25"/>
          <w:szCs w:val="25"/>
        </w:rPr>
        <w:t>BAJAJ DOMINAR D 400</w:t>
      </w:r>
      <w:r w:rsidR="000820C1" w:rsidRPr="006D3B9D">
        <w:rPr>
          <w:sz w:val="25"/>
          <w:szCs w:val="25"/>
        </w:rPr>
        <w:t>»</w:t>
      </w:r>
      <w:r w:rsidRPr="006D3B9D">
        <w:rPr>
          <w:sz w:val="25"/>
          <w:szCs w:val="25"/>
        </w:rPr>
        <w:t>)</w:t>
      </w:r>
      <w:r w:rsidR="000820C1" w:rsidRPr="006D3B9D">
        <w:rPr>
          <w:sz w:val="25"/>
          <w:szCs w:val="25"/>
        </w:rPr>
        <w:t xml:space="preserve">, </w:t>
      </w:r>
      <w:r w:rsidRPr="006D3B9D">
        <w:rPr>
          <w:sz w:val="25"/>
          <w:szCs w:val="25"/>
        </w:rPr>
        <w:t>20</w:t>
      </w:r>
      <w:r w:rsidR="000820C1" w:rsidRPr="006D3B9D">
        <w:rPr>
          <w:sz w:val="25"/>
          <w:szCs w:val="25"/>
        </w:rPr>
        <w:t> </w:t>
      </w:r>
      <w:r w:rsidRPr="006D3B9D">
        <w:rPr>
          <w:sz w:val="25"/>
          <w:szCs w:val="25"/>
        </w:rPr>
        <w:t>400 грн (вартість туристичної подорожі)</w:t>
      </w:r>
      <w:r w:rsidR="000820C1" w:rsidRPr="006D3B9D">
        <w:rPr>
          <w:sz w:val="25"/>
          <w:szCs w:val="25"/>
        </w:rPr>
        <w:t>.</w:t>
      </w:r>
    </w:p>
    <w:p w14:paraId="5B48922C" w14:textId="56A75078"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Отже</w:t>
      </w:r>
      <w:r w:rsidR="00716EE6" w:rsidRPr="006D3B9D">
        <w:rPr>
          <w:sz w:val="25"/>
          <w:szCs w:val="25"/>
        </w:rPr>
        <w:t>,</w:t>
      </w:r>
      <w:r w:rsidRPr="006D3B9D">
        <w:rPr>
          <w:sz w:val="25"/>
          <w:szCs w:val="25"/>
        </w:rPr>
        <w:t xml:space="preserve"> 534</w:t>
      </w:r>
      <w:r w:rsidR="000820C1" w:rsidRPr="006D3B9D">
        <w:rPr>
          <w:sz w:val="25"/>
          <w:szCs w:val="25"/>
        </w:rPr>
        <w:t> </w:t>
      </w:r>
      <w:r w:rsidRPr="006D3B9D">
        <w:rPr>
          <w:sz w:val="25"/>
          <w:szCs w:val="25"/>
        </w:rPr>
        <w:t>776, 50 грн</w:t>
      </w:r>
      <w:r w:rsidR="00716EE6" w:rsidRPr="006D3B9D">
        <w:rPr>
          <w:sz w:val="25"/>
          <w:szCs w:val="25"/>
        </w:rPr>
        <w:t xml:space="preserve"> </w:t>
      </w:r>
      <w:r w:rsidRPr="006D3B9D">
        <w:rPr>
          <w:sz w:val="25"/>
          <w:szCs w:val="25"/>
        </w:rPr>
        <w:t>(загальна сума грошових коштів, що можливо було витратити) —</w:t>
      </w:r>
      <w:r w:rsidR="000820C1" w:rsidRPr="006D3B9D">
        <w:rPr>
          <w:sz w:val="25"/>
          <w:szCs w:val="25"/>
        </w:rPr>
        <w:t xml:space="preserve"> </w:t>
      </w:r>
      <w:r w:rsidRPr="006D3B9D">
        <w:rPr>
          <w:sz w:val="25"/>
          <w:szCs w:val="25"/>
        </w:rPr>
        <w:t>277 471 грн = 257 305,50 гр</w:t>
      </w:r>
      <w:r w:rsidR="00716EE6" w:rsidRPr="006D3B9D">
        <w:rPr>
          <w:sz w:val="25"/>
          <w:szCs w:val="25"/>
        </w:rPr>
        <w:t>ивень</w:t>
      </w:r>
      <w:r w:rsidRPr="006D3B9D">
        <w:rPr>
          <w:sz w:val="25"/>
          <w:szCs w:val="25"/>
        </w:rPr>
        <w:t>.</w:t>
      </w:r>
    </w:p>
    <w:p w14:paraId="1C1432EA" w14:textId="18C963D5" w:rsidR="000820C1" w:rsidRPr="006D3B9D" w:rsidRDefault="002204C1"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2021 році </w:t>
      </w:r>
      <w:r w:rsidR="00716EE6" w:rsidRPr="006D3B9D">
        <w:rPr>
          <w:sz w:val="25"/>
          <w:szCs w:val="25"/>
        </w:rPr>
        <w:t>в</w:t>
      </w:r>
      <w:r w:rsidRPr="006D3B9D">
        <w:rPr>
          <w:sz w:val="25"/>
          <w:szCs w:val="25"/>
        </w:rPr>
        <w:t xml:space="preserve"> розпорядженні </w:t>
      </w:r>
      <w:r w:rsidR="000820C1" w:rsidRPr="006D3B9D">
        <w:rPr>
          <w:sz w:val="25"/>
          <w:szCs w:val="25"/>
        </w:rPr>
        <w:t>сім’ї</w:t>
      </w:r>
      <w:r w:rsidRPr="006D3B9D">
        <w:rPr>
          <w:sz w:val="25"/>
          <w:szCs w:val="25"/>
        </w:rPr>
        <w:t xml:space="preserve"> кандидатки була сума грошових коштів не більш</w:t>
      </w:r>
      <w:r w:rsidR="00716EE6" w:rsidRPr="006D3B9D">
        <w:rPr>
          <w:sz w:val="25"/>
          <w:szCs w:val="25"/>
        </w:rPr>
        <w:t>а</w:t>
      </w:r>
      <w:r w:rsidRPr="006D3B9D">
        <w:rPr>
          <w:sz w:val="25"/>
          <w:szCs w:val="25"/>
        </w:rPr>
        <w:t xml:space="preserve"> ніж</w:t>
      </w:r>
      <w:r w:rsidR="000820C1" w:rsidRPr="006D3B9D">
        <w:rPr>
          <w:sz w:val="25"/>
          <w:szCs w:val="25"/>
        </w:rPr>
        <w:t xml:space="preserve"> </w:t>
      </w:r>
      <w:r w:rsidRPr="006D3B9D">
        <w:rPr>
          <w:sz w:val="25"/>
          <w:szCs w:val="25"/>
        </w:rPr>
        <w:t>534</w:t>
      </w:r>
      <w:r w:rsidR="000820C1" w:rsidRPr="006D3B9D">
        <w:rPr>
          <w:sz w:val="25"/>
          <w:szCs w:val="25"/>
        </w:rPr>
        <w:t> </w:t>
      </w:r>
      <w:r w:rsidRPr="006D3B9D">
        <w:rPr>
          <w:sz w:val="25"/>
          <w:szCs w:val="25"/>
        </w:rPr>
        <w:t>776, 50 грн (209</w:t>
      </w:r>
      <w:r w:rsidR="000820C1" w:rsidRPr="006D3B9D">
        <w:rPr>
          <w:sz w:val="25"/>
          <w:szCs w:val="25"/>
        </w:rPr>
        <w:t> </w:t>
      </w:r>
      <w:r w:rsidRPr="006D3B9D">
        <w:rPr>
          <w:sz w:val="25"/>
          <w:szCs w:val="25"/>
        </w:rPr>
        <w:t>245 грн</w:t>
      </w:r>
      <w:r w:rsidR="00716EE6" w:rsidRPr="006D3B9D">
        <w:rPr>
          <w:sz w:val="25"/>
          <w:szCs w:val="25"/>
        </w:rPr>
        <w:t xml:space="preserve"> —</w:t>
      </w:r>
      <w:r w:rsidRPr="006D3B9D">
        <w:rPr>
          <w:sz w:val="25"/>
          <w:szCs w:val="25"/>
        </w:rPr>
        <w:t xml:space="preserve"> грошовий дохід </w:t>
      </w:r>
      <w:r w:rsidR="00716EE6" w:rsidRPr="006D3B9D">
        <w:rPr>
          <w:sz w:val="25"/>
          <w:szCs w:val="25"/>
        </w:rPr>
        <w:t>у</w:t>
      </w:r>
      <w:r w:rsidRPr="006D3B9D">
        <w:rPr>
          <w:sz w:val="25"/>
          <w:szCs w:val="25"/>
        </w:rPr>
        <w:t xml:space="preserve"> 2021 році після покриття мінімальних базових</w:t>
      </w:r>
      <w:r w:rsidR="000820C1" w:rsidRPr="006D3B9D">
        <w:rPr>
          <w:sz w:val="25"/>
          <w:szCs w:val="25"/>
        </w:rPr>
        <w:t xml:space="preserve"> </w:t>
      </w:r>
      <w:r w:rsidRPr="006D3B9D">
        <w:rPr>
          <w:sz w:val="25"/>
          <w:szCs w:val="25"/>
        </w:rPr>
        <w:t xml:space="preserve">потреб </w:t>
      </w:r>
      <w:r w:rsidR="000820C1" w:rsidRPr="006D3B9D">
        <w:rPr>
          <w:sz w:val="25"/>
          <w:szCs w:val="25"/>
        </w:rPr>
        <w:t>сім’ї</w:t>
      </w:r>
      <w:r w:rsidRPr="006D3B9D">
        <w:rPr>
          <w:sz w:val="25"/>
          <w:szCs w:val="25"/>
        </w:rPr>
        <w:t xml:space="preserve"> + 325</w:t>
      </w:r>
      <w:r w:rsidR="000820C1" w:rsidRPr="006D3B9D">
        <w:rPr>
          <w:sz w:val="25"/>
          <w:szCs w:val="25"/>
        </w:rPr>
        <w:t> </w:t>
      </w:r>
      <w:r w:rsidRPr="006D3B9D">
        <w:rPr>
          <w:sz w:val="25"/>
          <w:szCs w:val="25"/>
        </w:rPr>
        <w:t xml:space="preserve">531, 50 грн </w:t>
      </w:r>
      <w:r w:rsidR="00716EE6" w:rsidRPr="006D3B9D">
        <w:rPr>
          <w:sz w:val="25"/>
          <w:szCs w:val="25"/>
        </w:rPr>
        <w:t xml:space="preserve">— </w:t>
      </w:r>
      <w:r w:rsidRPr="006D3B9D">
        <w:rPr>
          <w:sz w:val="25"/>
          <w:szCs w:val="25"/>
        </w:rPr>
        <w:t>накопичен</w:t>
      </w:r>
      <w:r w:rsidR="00716EE6" w:rsidRPr="006D3B9D">
        <w:rPr>
          <w:sz w:val="25"/>
          <w:szCs w:val="25"/>
        </w:rPr>
        <w:t>ня</w:t>
      </w:r>
      <w:r w:rsidRPr="006D3B9D">
        <w:rPr>
          <w:sz w:val="25"/>
          <w:szCs w:val="25"/>
        </w:rPr>
        <w:t xml:space="preserve"> від грошового доходу у 2019</w:t>
      </w:r>
      <w:r w:rsidR="00716EE6" w:rsidRPr="006D3B9D">
        <w:rPr>
          <w:sz w:val="25"/>
          <w:szCs w:val="25"/>
        </w:rPr>
        <w:t>—</w:t>
      </w:r>
      <w:r w:rsidRPr="006D3B9D">
        <w:rPr>
          <w:sz w:val="25"/>
          <w:szCs w:val="25"/>
        </w:rPr>
        <w:t xml:space="preserve">2020 роках після </w:t>
      </w:r>
      <w:r w:rsidR="000820C1" w:rsidRPr="006D3B9D">
        <w:rPr>
          <w:sz w:val="25"/>
          <w:szCs w:val="25"/>
        </w:rPr>
        <w:t xml:space="preserve">покриття </w:t>
      </w:r>
      <w:r w:rsidRPr="006D3B9D">
        <w:rPr>
          <w:sz w:val="25"/>
          <w:szCs w:val="25"/>
        </w:rPr>
        <w:t xml:space="preserve">базових мінімальних потреб </w:t>
      </w:r>
      <w:r w:rsidR="000820C1" w:rsidRPr="006D3B9D">
        <w:rPr>
          <w:sz w:val="25"/>
          <w:szCs w:val="25"/>
        </w:rPr>
        <w:t>сім’ї</w:t>
      </w:r>
      <w:r w:rsidRPr="006D3B9D">
        <w:rPr>
          <w:sz w:val="25"/>
          <w:szCs w:val="25"/>
        </w:rPr>
        <w:t>).</w:t>
      </w:r>
    </w:p>
    <w:p w14:paraId="1373B54F" w14:textId="0EB9AFF6" w:rsidR="002204C1" w:rsidRPr="006D3B9D" w:rsidRDefault="00716EE6" w:rsidP="000820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w:t>
      </w:r>
      <w:r w:rsidR="002204C1" w:rsidRPr="006D3B9D">
        <w:rPr>
          <w:sz w:val="25"/>
          <w:szCs w:val="25"/>
        </w:rPr>
        <w:t>казаний розмір кошті</w:t>
      </w:r>
      <w:r w:rsidRPr="006D3B9D">
        <w:rPr>
          <w:sz w:val="25"/>
          <w:szCs w:val="25"/>
        </w:rPr>
        <w:t>в</w:t>
      </w:r>
      <w:r w:rsidR="002204C1" w:rsidRPr="006D3B9D">
        <w:rPr>
          <w:sz w:val="25"/>
          <w:szCs w:val="25"/>
        </w:rPr>
        <w:t xml:space="preserve"> дозволяв зробити </w:t>
      </w:r>
      <w:r w:rsidR="000820C1" w:rsidRPr="006D3B9D">
        <w:rPr>
          <w:sz w:val="25"/>
          <w:szCs w:val="25"/>
        </w:rPr>
        <w:t>сім’ї</w:t>
      </w:r>
      <w:r w:rsidR="002204C1" w:rsidRPr="006D3B9D">
        <w:rPr>
          <w:sz w:val="25"/>
          <w:szCs w:val="25"/>
        </w:rPr>
        <w:t xml:space="preserve"> кандидатки ви</w:t>
      </w:r>
      <w:r w:rsidR="00C279A2" w:rsidRPr="006D3B9D">
        <w:rPr>
          <w:sz w:val="25"/>
          <w:szCs w:val="25"/>
        </w:rPr>
        <w:t>датки</w:t>
      </w:r>
      <w:r w:rsidR="002204C1" w:rsidRPr="006D3B9D">
        <w:rPr>
          <w:sz w:val="25"/>
          <w:szCs w:val="25"/>
        </w:rPr>
        <w:t xml:space="preserve"> </w:t>
      </w:r>
      <w:r w:rsidR="00C279A2" w:rsidRPr="006D3B9D">
        <w:rPr>
          <w:sz w:val="25"/>
          <w:szCs w:val="25"/>
        </w:rPr>
        <w:t>у травні 2021 року для</w:t>
      </w:r>
      <w:r w:rsidR="002204C1" w:rsidRPr="006D3B9D">
        <w:rPr>
          <w:sz w:val="25"/>
          <w:szCs w:val="25"/>
        </w:rPr>
        <w:t xml:space="preserve"> придбання мотоцикла</w:t>
      </w:r>
      <w:r w:rsidR="000820C1" w:rsidRPr="006D3B9D">
        <w:rPr>
          <w:sz w:val="25"/>
          <w:szCs w:val="25"/>
        </w:rPr>
        <w:t xml:space="preserve"> з</w:t>
      </w:r>
      <w:r w:rsidR="002204C1" w:rsidRPr="006D3B9D">
        <w:rPr>
          <w:sz w:val="25"/>
          <w:szCs w:val="25"/>
        </w:rPr>
        <w:t>а ціною 127</w:t>
      </w:r>
      <w:r w:rsidR="000820C1" w:rsidRPr="006D3B9D">
        <w:rPr>
          <w:sz w:val="25"/>
          <w:szCs w:val="25"/>
        </w:rPr>
        <w:t> </w:t>
      </w:r>
      <w:r w:rsidR="002204C1" w:rsidRPr="006D3B9D">
        <w:rPr>
          <w:sz w:val="25"/>
          <w:szCs w:val="25"/>
        </w:rPr>
        <w:t xml:space="preserve">071 грн, витрати за розмитнення автомобіля </w:t>
      </w:r>
      <w:r w:rsidR="000820C1" w:rsidRPr="006D3B9D">
        <w:rPr>
          <w:sz w:val="25"/>
          <w:szCs w:val="25"/>
        </w:rPr>
        <w:t>марки «</w:t>
      </w:r>
      <w:r w:rsidR="002204C1" w:rsidRPr="006D3B9D">
        <w:rPr>
          <w:sz w:val="25"/>
          <w:szCs w:val="25"/>
        </w:rPr>
        <w:t>VOLKSWAGEN</w:t>
      </w:r>
      <w:r w:rsidR="000820C1" w:rsidRPr="006D3B9D">
        <w:rPr>
          <w:sz w:val="25"/>
          <w:szCs w:val="25"/>
        </w:rPr>
        <w:t xml:space="preserve"> </w:t>
      </w:r>
      <w:r w:rsidR="002204C1" w:rsidRPr="006D3B9D">
        <w:rPr>
          <w:sz w:val="25"/>
          <w:szCs w:val="25"/>
        </w:rPr>
        <w:t>TIGUAN</w:t>
      </w:r>
      <w:r w:rsidR="000820C1" w:rsidRPr="006D3B9D">
        <w:rPr>
          <w:sz w:val="25"/>
          <w:szCs w:val="25"/>
        </w:rPr>
        <w:t>»</w:t>
      </w:r>
      <w:r w:rsidR="002204C1" w:rsidRPr="006D3B9D">
        <w:rPr>
          <w:sz w:val="25"/>
          <w:szCs w:val="25"/>
        </w:rPr>
        <w:t xml:space="preserve"> у сумі 130</w:t>
      </w:r>
      <w:r w:rsidR="00C279A2" w:rsidRPr="006D3B9D">
        <w:rPr>
          <w:sz w:val="25"/>
          <w:szCs w:val="25"/>
        </w:rPr>
        <w:t> </w:t>
      </w:r>
      <w:r w:rsidR="002204C1" w:rsidRPr="006D3B9D">
        <w:rPr>
          <w:sz w:val="25"/>
          <w:szCs w:val="25"/>
        </w:rPr>
        <w:t xml:space="preserve">000 грн та </w:t>
      </w:r>
      <w:r w:rsidR="00C279A2" w:rsidRPr="006D3B9D">
        <w:rPr>
          <w:sz w:val="25"/>
          <w:szCs w:val="25"/>
        </w:rPr>
        <w:t>сплатити</w:t>
      </w:r>
      <w:r w:rsidR="002204C1" w:rsidRPr="006D3B9D">
        <w:rPr>
          <w:sz w:val="25"/>
          <w:szCs w:val="25"/>
        </w:rPr>
        <w:t xml:space="preserve"> вартість туристичної подорожі у розмір</w:t>
      </w:r>
      <w:r w:rsidRPr="006D3B9D">
        <w:rPr>
          <w:sz w:val="25"/>
          <w:szCs w:val="25"/>
        </w:rPr>
        <w:t>і</w:t>
      </w:r>
      <w:r w:rsidR="002204C1" w:rsidRPr="006D3B9D">
        <w:rPr>
          <w:sz w:val="25"/>
          <w:szCs w:val="25"/>
        </w:rPr>
        <w:t xml:space="preserve"> 20</w:t>
      </w:r>
      <w:r w:rsidR="000820C1" w:rsidRPr="006D3B9D">
        <w:rPr>
          <w:sz w:val="25"/>
          <w:szCs w:val="25"/>
        </w:rPr>
        <w:t> </w:t>
      </w:r>
      <w:r w:rsidR="002204C1" w:rsidRPr="006D3B9D">
        <w:rPr>
          <w:sz w:val="25"/>
          <w:szCs w:val="25"/>
        </w:rPr>
        <w:t>400 гр</w:t>
      </w:r>
      <w:r w:rsidRPr="006D3B9D">
        <w:rPr>
          <w:sz w:val="25"/>
          <w:szCs w:val="25"/>
        </w:rPr>
        <w:t>ивень.</w:t>
      </w:r>
    </w:p>
    <w:p w14:paraId="2670E1F7" w14:textId="6B5CD2E9" w:rsidR="00B21EBF" w:rsidRPr="006D3B9D" w:rsidRDefault="00B21EBF"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Комісія приймає такі пояснення кандидата та вважає їх переконливими.</w:t>
      </w:r>
    </w:p>
    <w:p w14:paraId="58BAD380" w14:textId="77AB04E1" w:rsidR="00D53541" w:rsidRPr="006D3B9D" w:rsidRDefault="0088473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w:t>
      </w:r>
      <w:r w:rsidR="0068253D" w:rsidRPr="006D3B9D">
        <w:rPr>
          <w:sz w:val="25"/>
          <w:szCs w:val="25"/>
        </w:rPr>
        <w:t xml:space="preserve">джерел походження грошових коштів </w:t>
      </w:r>
      <w:r w:rsidR="00C279A2" w:rsidRPr="006D3B9D">
        <w:rPr>
          <w:sz w:val="25"/>
          <w:szCs w:val="25"/>
        </w:rPr>
        <w:t xml:space="preserve">у </w:t>
      </w:r>
      <w:r w:rsidR="0068253D" w:rsidRPr="006D3B9D">
        <w:rPr>
          <w:sz w:val="25"/>
          <w:szCs w:val="25"/>
        </w:rPr>
        <w:t>родини кандидат</w:t>
      </w:r>
      <w:r w:rsidR="00C279A2" w:rsidRPr="006D3B9D">
        <w:rPr>
          <w:sz w:val="25"/>
          <w:szCs w:val="25"/>
        </w:rPr>
        <w:t>ки</w:t>
      </w:r>
      <w:r w:rsidR="0068253D" w:rsidRPr="006D3B9D">
        <w:rPr>
          <w:sz w:val="25"/>
          <w:szCs w:val="25"/>
        </w:rPr>
        <w:t xml:space="preserve"> для здійснення видатків у 2021 році</w:t>
      </w:r>
      <w:r w:rsidR="00D53541" w:rsidRPr="006D3B9D">
        <w:rPr>
          <w:sz w:val="25"/>
          <w:szCs w:val="25"/>
        </w:rPr>
        <w:t xml:space="preserve"> Комісія встановила таке.</w:t>
      </w:r>
    </w:p>
    <w:p w14:paraId="2D2CE194" w14:textId="4329E636" w:rsidR="00D53541" w:rsidRPr="006D3B9D" w:rsidRDefault="00D5354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Висновку ГРД зазнача</w:t>
      </w:r>
      <w:r w:rsidR="00716EE6" w:rsidRPr="006D3B9D">
        <w:rPr>
          <w:sz w:val="25"/>
          <w:szCs w:val="25"/>
        </w:rPr>
        <w:t>ла</w:t>
      </w:r>
      <w:r w:rsidRPr="006D3B9D">
        <w:rPr>
          <w:sz w:val="25"/>
          <w:szCs w:val="25"/>
        </w:rPr>
        <w:t>, що відповідно до відомостей з ДРФО дохід кандидатки у 2021 становив 90</w:t>
      </w:r>
      <w:r w:rsidR="00C279A2" w:rsidRPr="006D3B9D">
        <w:rPr>
          <w:sz w:val="25"/>
          <w:szCs w:val="25"/>
        </w:rPr>
        <w:t> </w:t>
      </w:r>
      <w:r w:rsidRPr="006D3B9D">
        <w:rPr>
          <w:sz w:val="25"/>
          <w:szCs w:val="25"/>
        </w:rPr>
        <w:t>000 грн, дохід її чоловіка — 52</w:t>
      </w:r>
      <w:r w:rsidR="00C279A2" w:rsidRPr="006D3B9D">
        <w:rPr>
          <w:sz w:val="25"/>
          <w:szCs w:val="25"/>
        </w:rPr>
        <w:t> </w:t>
      </w:r>
      <w:r w:rsidRPr="006D3B9D">
        <w:rPr>
          <w:sz w:val="25"/>
          <w:szCs w:val="25"/>
        </w:rPr>
        <w:t>071 грн (за період 2020</w:t>
      </w:r>
      <w:r w:rsidR="00716EE6" w:rsidRPr="006D3B9D">
        <w:rPr>
          <w:sz w:val="25"/>
          <w:szCs w:val="25"/>
        </w:rPr>
        <w:t>—</w:t>
      </w:r>
      <w:r w:rsidRPr="006D3B9D">
        <w:rPr>
          <w:sz w:val="25"/>
          <w:szCs w:val="25"/>
        </w:rPr>
        <w:t>2021 рок</w:t>
      </w:r>
      <w:r w:rsidR="00716EE6" w:rsidRPr="006D3B9D">
        <w:rPr>
          <w:sz w:val="25"/>
          <w:szCs w:val="25"/>
        </w:rPr>
        <w:t>ів</w:t>
      </w:r>
      <w:r w:rsidRPr="006D3B9D">
        <w:rPr>
          <w:sz w:val="25"/>
          <w:szCs w:val="25"/>
        </w:rPr>
        <w:t xml:space="preserve"> — 142</w:t>
      </w:r>
      <w:r w:rsidR="00C279A2" w:rsidRPr="006D3B9D">
        <w:rPr>
          <w:sz w:val="25"/>
          <w:szCs w:val="25"/>
        </w:rPr>
        <w:t> </w:t>
      </w:r>
      <w:r w:rsidRPr="006D3B9D">
        <w:rPr>
          <w:sz w:val="25"/>
          <w:szCs w:val="25"/>
        </w:rPr>
        <w:t xml:space="preserve">071 грн), з 2008 року до 2020 року </w:t>
      </w:r>
      <w:r w:rsidR="00716EE6" w:rsidRPr="006D3B9D">
        <w:rPr>
          <w:sz w:val="25"/>
          <w:szCs w:val="25"/>
        </w:rPr>
        <w:t>в</w:t>
      </w:r>
      <w:r w:rsidRPr="006D3B9D">
        <w:rPr>
          <w:sz w:val="25"/>
          <w:szCs w:val="25"/>
        </w:rPr>
        <w:t xml:space="preserve"> чоловіка кандидатки відсутні офіційні доходи. Дохід кандидатки у 2019 році становив 359</w:t>
      </w:r>
      <w:r w:rsidR="009B7E37" w:rsidRPr="006D3B9D">
        <w:rPr>
          <w:sz w:val="25"/>
          <w:szCs w:val="25"/>
        </w:rPr>
        <w:t> </w:t>
      </w:r>
      <w:r w:rsidRPr="006D3B9D">
        <w:rPr>
          <w:sz w:val="25"/>
          <w:szCs w:val="25"/>
        </w:rPr>
        <w:t>721,29 грн, а у 2020 році — 600</w:t>
      </w:r>
      <w:r w:rsidR="00C279A2" w:rsidRPr="006D3B9D">
        <w:rPr>
          <w:sz w:val="25"/>
          <w:szCs w:val="25"/>
        </w:rPr>
        <w:t> </w:t>
      </w:r>
      <w:r w:rsidRPr="006D3B9D">
        <w:rPr>
          <w:sz w:val="25"/>
          <w:szCs w:val="25"/>
        </w:rPr>
        <w:t>000</w:t>
      </w:r>
      <w:r w:rsidR="00C279A2" w:rsidRPr="006D3B9D">
        <w:rPr>
          <w:sz w:val="25"/>
          <w:szCs w:val="25"/>
        </w:rPr>
        <w:t> </w:t>
      </w:r>
      <w:r w:rsidRPr="006D3B9D">
        <w:rPr>
          <w:sz w:val="25"/>
          <w:szCs w:val="25"/>
        </w:rPr>
        <w:t>грн. У попередні роки доходи були незначним</w:t>
      </w:r>
      <w:r w:rsidR="00716EE6" w:rsidRPr="006D3B9D">
        <w:rPr>
          <w:sz w:val="25"/>
          <w:szCs w:val="25"/>
        </w:rPr>
        <w:t>и</w:t>
      </w:r>
      <w:r w:rsidRPr="006D3B9D">
        <w:rPr>
          <w:sz w:val="25"/>
          <w:szCs w:val="25"/>
        </w:rPr>
        <w:t>.</w:t>
      </w:r>
    </w:p>
    <w:p w14:paraId="130796EB" w14:textId="1AC52701" w:rsidR="00967109" w:rsidRPr="006D3B9D" w:rsidRDefault="00D5354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Комісія встановила, що згідно </w:t>
      </w:r>
      <w:r w:rsidR="00716EE6" w:rsidRPr="006D3B9D">
        <w:rPr>
          <w:sz w:val="25"/>
          <w:szCs w:val="25"/>
        </w:rPr>
        <w:t xml:space="preserve">з </w:t>
      </w:r>
      <w:r w:rsidRPr="006D3B9D">
        <w:rPr>
          <w:sz w:val="25"/>
          <w:szCs w:val="25"/>
        </w:rPr>
        <w:t>відомост</w:t>
      </w:r>
      <w:r w:rsidR="00716EE6" w:rsidRPr="006D3B9D">
        <w:rPr>
          <w:sz w:val="25"/>
          <w:szCs w:val="25"/>
        </w:rPr>
        <w:t xml:space="preserve">ями </w:t>
      </w:r>
      <w:r w:rsidRPr="006D3B9D">
        <w:rPr>
          <w:sz w:val="25"/>
          <w:szCs w:val="25"/>
        </w:rPr>
        <w:t>з ДРФО: дохід кандидатки у</w:t>
      </w:r>
      <w:r w:rsidR="00247202" w:rsidRPr="006D3B9D">
        <w:rPr>
          <w:sz w:val="25"/>
          <w:szCs w:val="25"/>
        </w:rPr>
        <w:t xml:space="preserve"> </w:t>
      </w:r>
      <w:r w:rsidRPr="006D3B9D">
        <w:rPr>
          <w:sz w:val="25"/>
          <w:szCs w:val="25"/>
        </w:rPr>
        <w:t>2019</w:t>
      </w:r>
      <w:r w:rsidR="00247202" w:rsidRPr="006D3B9D">
        <w:rPr>
          <w:sz w:val="25"/>
          <w:szCs w:val="25"/>
        </w:rPr>
        <w:t> </w:t>
      </w:r>
      <w:r w:rsidRPr="006D3B9D">
        <w:rPr>
          <w:sz w:val="25"/>
          <w:szCs w:val="25"/>
        </w:rPr>
        <w:t xml:space="preserve">році </w:t>
      </w:r>
      <w:r w:rsidR="00247202" w:rsidRPr="006D3B9D">
        <w:rPr>
          <w:sz w:val="25"/>
          <w:szCs w:val="25"/>
        </w:rPr>
        <w:t xml:space="preserve">становив </w:t>
      </w:r>
      <w:r w:rsidRPr="006D3B9D">
        <w:rPr>
          <w:sz w:val="25"/>
          <w:szCs w:val="25"/>
        </w:rPr>
        <w:t>359</w:t>
      </w:r>
      <w:r w:rsidR="00247202" w:rsidRPr="006D3B9D">
        <w:rPr>
          <w:sz w:val="25"/>
          <w:szCs w:val="25"/>
        </w:rPr>
        <w:t> </w:t>
      </w:r>
      <w:r w:rsidRPr="006D3B9D">
        <w:rPr>
          <w:sz w:val="25"/>
          <w:szCs w:val="25"/>
        </w:rPr>
        <w:t xml:space="preserve">721,29 грн, у 2020 році </w:t>
      </w:r>
      <w:r w:rsidR="00C8303D" w:rsidRPr="006D3B9D">
        <w:rPr>
          <w:sz w:val="25"/>
          <w:szCs w:val="25"/>
        </w:rPr>
        <w:t>–</w:t>
      </w:r>
      <w:r w:rsidRPr="006D3B9D">
        <w:rPr>
          <w:sz w:val="25"/>
          <w:szCs w:val="25"/>
        </w:rPr>
        <w:t xml:space="preserve"> 600</w:t>
      </w:r>
      <w:r w:rsidR="00C8303D" w:rsidRPr="006D3B9D">
        <w:rPr>
          <w:sz w:val="25"/>
          <w:szCs w:val="25"/>
        </w:rPr>
        <w:t> </w:t>
      </w:r>
      <w:r w:rsidRPr="006D3B9D">
        <w:rPr>
          <w:sz w:val="25"/>
          <w:szCs w:val="25"/>
        </w:rPr>
        <w:t>00</w:t>
      </w:r>
      <w:r w:rsidR="00716EE6" w:rsidRPr="006D3B9D">
        <w:rPr>
          <w:sz w:val="25"/>
          <w:szCs w:val="25"/>
        </w:rPr>
        <w:t>0</w:t>
      </w:r>
      <w:r w:rsidRPr="006D3B9D">
        <w:rPr>
          <w:sz w:val="25"/>
          <w:szCs w:val="25"/>
        </w:rPr>
        <w:t xml:space="preserve"> грн</w:t>
      </w:r>
      <w:r w:rsidR="00C8303D" w:rsidRPr="006D3B9D">
        <w:rPr>
          <w:sz w:val="25"/>
          <w:szCs w:val="25"/>
        </w:rPr>
        <w:t>;</w:t>
      </w:r>
      <w:r w:rsidRPr="006D3B9D">
        <w:rPr>
          <w:sz w:val="25"/>
          <w:szCs w:val="25"/>
        </w:rPr>
        <w:t xml:space="preserve"> у 2021 році – 90</w:t>
      </w:r>
      <w:r w:rsidR="00C8303D" w:rsidRPr="006D3B9D">
        <w:rPr>
          <w:sz w:val="25"/>
          <w:szCs w:val="25"/>
        </w:rPr>
        <w:t> </w:t>
      </w:r>
      <w:r w:rsidRPr="006D3B9D">
        <w:rPr>
          <w:sz w:val="25"/>
          <w:szCs w:val="25"/>
        </w:rPr>
        <w:t>000 грн; за період 2020</w:t>
      </w:r>
      <w:r w:rsidR="00716EE6" w:rsidRPr="006D3B9D">
        <w:rPr>
          <w:sz w:val="25"/>
          <w:szCs w:val="25"/>
        </w:rPr>
        <w:t>—</w:t>
      </w:r>
      <w:r w:rsidRPr="006D3B9D">
        <w:rPr>
          <w:sz w:val="25"/>
          <w:szCs w:val="25"/>
        </w:rPr>
        <w:t>2021 – 690</w:t>
      </w:r>
      <w:r w:rsidR="00C8303D" w:rsidRPr="006D3B9D">
        <w:rPr>
          <w:sz w:val="25"/>
          <w:szCs w:val="25"/>
        </w:rPr>
        <w:t> </w:t>
      </w:r>
      <w:r w:rsidRPr="006D3B9D">
        <w:rPr>
          <w:sz w:val="25"/>
          <w:szCs w:val="25"/>
        </w:rPr>
        <w:t>000 грн.</w:t>
      </w:r>
    </w:p>
    <w:p w14:paraId="4B4B597F" w14:textId="2717C0ED" w:rsidR="00967109" w:rsidRPr="006D3B9D" w:rsidRDefault="00967109"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інформації з ДРФО д</w:t>
      </w:r>
      <w:r w:rsidR="00D53541" w:rsidRPr="006D3B9D">
        <w:rPr>
          <w:sz w:val="25"/>
          <w:szCs w:val="25"/>
        </w:rPr>
        <w:t xml:space="preserve">охід чоловіка </w:t>
      </w:r>
      <w:proofErr w:type="spellStart"/>
      <w:r w:rsidR="00716EE6" w:rsidRPr="006D3B9D">
        <w:rPr>
          <w:sz w:val="25"/>
          <w:szCs w:val="25"/>
        </w:rPr>
        <w:t>Косогор</w:t>
      </w:r>
      <w:proofErr w:type="spellEnd"/>
      <w:r w:rsidR="00716EE6" w:rsidRPr="006D3B9D">
        <w:rPr>
          <w:sz w:val="25"/>
          <w:szCs w:val="25"/>
        </w:rPr>
        <w:t xml:space="preserve"> О.М.</w:t>
      </w:r>
      <w:r w:rsidR="00D53541" w:rsidRPr="006D3B9D">
        <w:rPr>
          <w:sz w:val="25"/>
          <w:szCs w:val="25"/>
        </w:rPr>
        <w:t xml:space="preserve"> у 2020 році</w:t>
      </w:r>
      <w:r w:rsidR="00716EE6" w:rsidRPr="006D3B9D">
        <w:rPr>
          <w:sz w:val="25"/>
          <w:szCs w:val="25"/>
        </w:rPr>
        <w:t xml:space="preserve"> становив</w:t>
      </w:r>
      <w:r w:rsidR="00D53541" w:rsidRPr="006D3B9D">
        <w:rPr>
          <w:sz w:val="25"/>
          <w:szCs w:val="25"/>
        </w:rPr>
        <w:t xml:space="preserve"> 17</w:t>
      </w:r>
      <w:r w:rsidRPr="006D3B9D">
        <w:rPr>
          <w:sz w:val="25"/>
          <w:szCs w:val="25"/>
        </w:rPr>
        <w:t> </w:t>
      </w:r>
      <w:r w:rsidR="00D53541" w:rsidRPr="006D3B9D">
        <w:rPr>
          <w:sz w:val="25"/>
          <w:szCs w:val="25"/>
        </w:rPr>
        <w:t xml:space="preserve">000 грн, у 2021 році </w:t>
      </w:r>
      <w:r w:rsidR="00C8303D" w:rsidRPr="006D3B9D">
        <w:rPr>
          <w:sz w:val="25"/>
          <w:szCs w:val="25"/>
        </w:rPr>
        <w:t>–</w:t>
      </w:r>
      <w:r w:rsidR="00D53541" w:rsidRPr="006D3B9D">
        <w:rPr>
          <w:sz w:val="25"/>
          <w:szCs w:val="25"/>
        </w:rPr>
        <w:t xml:space="preserve"> 66</w:t>
      </w:r>
      <w:r w:rsidR="00C8303D" w:rsidRPr="006D3B9D">
        <w:rPr>
          <w:sz w:val="25"/>
          <w:szCs w:val="25"/>
        </w:rPr>
        <w:t> </w:t>
      </w:r>
      <w:r w:rsidR="00D53541" w:rsidRPr="006D3B9D">
        <w:rPr>
          <w:sz w:val="25"/>
          <w:szCs w:val="25"/>
        </w:rPr>
        <w:t>571,19 грн, відомості про доходи з 2008 до 2020 року відсутні, за період 2020</w:t>
      </w:r>
      <w:r w:rsidR="00716EE6" w:rsidRPr="006D3B9D">
        <w:rPr>
          <w:sz w:val="25"/>
          <w:szCs w:val="25"/>
        </w:rPr>
        <w:t>—</w:t>
      </w:r>
      <w:r w:rsidR="00D53541" w:rsidRPr="006D3B9D">
        <w:rPr>
          <w:sz w:val="25"/>
          <w:szCs w:val="25"/>
        </w:rPr>
        <w:t>2021</w:t>
      </w:r>
      <w:r w:rsidR="00716EE6" w:rsidRPr="006D3B9D">
        <w:rPr>
          <w:sz w:val="25"/>
          <w:szCs w:val="25"/>
        </w:rPr>
        <w:t xml:space="preserve"> років</w:t>
      </w:r>
      <w:r w:rsidR="00D53541" w:rsidRPr="006D3B9D">
        <w:rPr>
          <w:sz w:val="25"/>
          <w:szCs w:val="25"/>
        </w:rPr>
        <w:t xml:space="preserve"> – 83</w:t>
      </w:r>
      <w:r w:rsidR="00C8303D" w:rsidRPr="006D3B9D">
        <w:rPr>
          <w:sz w:val="25"/>
          <w:szCs w:val="25"/>
        </w:rPr>
        <w:t> </w:t>
      </w:r>
      <w:r w:rsidR="00D53541" w:rsidRPr="006D3B9D">
        <w:rPr>
          <w:sz w:val="25"/>
          <w:szCs w:val="25"/>
        </w:rPr>
        <w:t>571,19 гр</w:t>
      </w:r>
      <w:r w:rsidR="00716EE6" w:rsidRPr="006D3B9D">
        <w:rPr>
          <w:sz w:val="25"/>
          <w:szCs w:val="25"/>
        </w:rPr>
        <w:t>ивень.</w:t>
      </w:r>
    </w:p>
    <w:p w14:paraId="2B708D1C" w14:textId="37C0E8BD" w:rsidR="00D53541" w:rsidRPr="006D3B9D" w:rsidRDefault="00D5354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Сукупний дохід подружжя за період 2020</w:t>
      </w:r>
      <w:r w:rsidR="00716EE6" w:rsidRPr="006D3B9D">
        <w:rPr>
          <w:sz w:val="25"/>
          <w:szCs w:val="25"/>
        </w:rPr>
        <w:t>—</w:t>
      </w:r>
      <w:r w:rsidRPr="006D3B9D">
        <w:rPr>
          <w:sz w:val="25"/>
          <w:szCs w:val="25"/>
        </w:rPr>
        <w:t>2021</w:t>
      </w:r>
      <w:r w:rsidR="00C8303D" w:rsidRPr="006D3B9D">
        <w:rPr>
          <w:sz w:val="25"/>
          <w:szCs w:val="25"/>
        </w:rPr>
        <w:t xml:space="preserve"> рок</w:t>
      </w:r>
      <w:r w:rsidR="00716EE6" w:rsidRPr="006D3B9D">
        <w:rPr>
          <w:sz w:val="25"/>
          <w:szCs w:val="25"/>
        </w:rPr>
        <w:t>ів</w:t>
      </w:r>
      <w:r w:rsidRPr="006D3B9D">
        <w:rPr>
          <w:sz w:val="25"/>
          <w:szCs w:val="25"/>
        </w:rPr>
        <w:t xml:space="preserve"> – 773</w:t>
      </w:r>
      <w:r w:rsidR="00967109" w:rsidRPr="006D3B9D">
        <w:rPr>
          <w:sz w:val="25"/>
          <w:szCs w:val="25"/>
        </w:rPr>
        <w:t> </w:t>
      </w:r>
      <w:r w:rsidRPr="006D3B9D">
        <w:rPr>
          <w:sz w:val="25"/>
          <w:szCs w:val="25"/>
        </w:rPr>
        <w:t>571,19 грн</w:t>
      </w:r>
      <w:r w:rsidR="00716EE6" w:rsidRPr="006D3B9D">
        <w:rPr>
          <w:sz w:val="25"/>
          <w:szCs w:val="25"/>
        </w:rPr>
        <w:t>,</w:t>
      </w:r>
      <w:r w:rsidRPr="006D3B9D">
        <w:rPr>
          <w:sz w:val="25"/>
          <w:szCs w:val="25"/>
        </w:rPr>
        <w:t xml:space="preserve"> тому Комісія відхиляє розрахунки ГРД у цій частині висновку.</w:t>
      </w:r>
    </w:p>
    <w:p w14:paraId="49DA1428" w14:textId="1E803278" w:rsidR="00D53541" w:rsidRPr="006D3B9D" w:rsidRDefault="000820C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своїх поясненнях кандидатка зазначила, що д</w:t>
      </w:r>
      <w:r w:rsidR="002204C1" w:rsidRPr="006D3B9D">
        <w:rPr>
          <w:sz w:val="25"/>
          <w:szCs w:val="25"/>
        </w:rPr>
        <w:t>охід</w:t>
      </w:r>
      <w:r w:rsidR="00716EE6" w:rsidRPr="006D3B9D">
        <w:rPr>
          <w:sz w:val="25"/>
          <w:szCs w:val="25"/>
        </w:rPr>
        <w:t xml:space="preserve"> її</w:t>
      </w:r>
      <w:r w:rsidR="002204C1" w:rsidRPr="006D3B9D">
        <w:rPr>
          <w:sz w:val="25"/>
          <w:szCs w:val="25"/>
        </w:rPr>
        <w:t xml:space="preserve"> </w:t>
      </w:r>
      <w:r w:rsidRPr="006D3B9D">
        <w:rPr>
          <w:sz w:val="25"/>
          <w:szCs w:val="25"/>
        </w:rPr>
        <w:t>сім’ї</w:t>
      </w:r>
      <w:r w:rsidR="002204C1" w:rsidRPr="006D3B9D">
        <w:rPr>
          <w:sz w:val="25"/>
          <w:szCs w:val="25"/>
        </w:rPr>
        <w:t xml:space="preserve"> за період 2019</w:t>
      </w:r>
      <w:r w:rsidR="00716EE6" w:rsidRPr="006D3B9D">
        <w:rPr>
          <w:sz w:val="25"/>
          <w:szCs w:val="25"/>
        </w:rPr>
        <w:t>—</w:t>
      </w:r>
      <w:r w:rsidR="002204C1" w:rsidRPr="006D3B9D">
        <w:rPr>
          <w:sz w:val="25"/>
          <w:szCs w:val="25"/>
        </w:rPr>
        <w:t>2021 рок</w:t>
      </w:r>
      <w:r w:rsidR="00716EE6" w:rsidRPr="006D3B9D">
        <w:rPr>
          <w:sz w:val="25"/>
          <w:szCs w:val="25"/>
        </w:rPr>
        <w:t>ів</w:t>
      </w:r>
      <w:r w:rsidR="002204C1" w:rsidRPr="006D3B9D">
        <w:rPr>
          <w:sz w:val="25"/>
          <w:szCs w:val="25"/>
        </w:rPr>
        <w:t xml:space="preserve"> становив 1</w:t>
      </w:r>
      <w:r w:rsidRPr="006D3B9D">
        <w:rPr>
          <w:sz w:val="25"/>
          <w:szCs w:val="25"/>
        </w:rPr>
        <w:t> </w:t>
      </w:r>
      <w:r w:rsidR="002204C1" w:rsidRPr="006D3B9D">
        <w:rPr>
          <w:sz w:val="25"/>
          <w:szCs w:val="25"/>
        </w:rPr>
        <w:t>296</w:t>
      </w:r>
      <w:r w:rsidRPr="006D3B9D">
        <w:rPr>
          <w:sz w:val="25"/>
          <w:szCs w:val="25"/>
        </w:rPr>
        <w:t> </w:t>
      </w:r>
      <w:r w:rsidR="002204C1" w:rsidRPr="006D3B9D">
        <w:rPr>
          <w:sz w:val="25"/>
          <w:szCs w:val="25"/>
        </w:rPr>
        <w:t>184,17 грн i складався з</w:t>
      </w:r>
      <w:r w:rsidR="00716EE6" w:rsidRPr="006D3B9D">
        <w:rPr>
          <w:sz w:val="25"/>
          <w:szCs w:val="25"/>
        </w:rPr>
        <w:t xml:space="preserve"> доходу від</w:t>
      </w:r>
      <w:r w:rsidRPr="006D3B9D">
        <w:rPr>
          <w:sz w:val="25"/>
          <w:szCs w:val="25"/>
        </w:rPr>
        <w:t xml:space="preserve"> підприємницьк</w:t>
      </w:r>
      <w:r w:rsidR="002C3ADA" w:rsidRPr="006D3B9D">
        <w:rPr>
          <w:sz w:val="25"/>
          <w:szCs w:val="25"/>
        </w:rPr>
        <w:t>ої</w:t>
      </w:r>
      <w:r w:rsidR="002204C1" w:rsidRPr="006D3B9D">
        <w:rPr>
          <w:sz w:val="25"/>
          <w:szCs w:val="25"/>
        </w:rPr>
        <w:t xml:space="preserve"> діяльн</w:t>
      </w:r>
      <w:r w:rsidR="002C3ADA" w:rsidRPr="006D3B9D">
        <w:rPr>
          <w:sz w:val="25"/>
          <w:szCs w:val="25"/>
        </w:rPr>
        <w:t>ості</w:t>
      </w:r>
      <w:r w:rsidR="002204C1" w:rsidRPr="006D3B9D">
        <w:rPr>
          <w:sz w:val="25"/>
          <w:szCs w:val="25"/>
        </w:rPr>
        <w:t xml:space="preserve"> кандидатки</w:t>
      </w:r>
      <w:r w:rsidR="00967109" w:rsidRPr="006D3B9D">
        <w:rPr>
          <w:sz w:val="25"/>
          <w:szCs w:val="25"/>
        </w:rPr>
        <w:t xml:space="preserve"> </w:t>
      </w:r>
      <w:r w:rsidR="002C3ADA" w:rsidRPr="006D3B9D">
        <w:rPr>
          <w:sz w:val="25"/>
          <w:szCs w:val="25"/>
        </w:rPr>
        <w:t>в</w:t>
      </w:r>
      <w:r w:rsidR="00967109" w:rsidRPr="006D3B9D">
        <w:rPr>
          <w:sz w:val="25"/>
          <w:szCs w:val="25"/>
        </w:rPr>
        <w:t xml:space="preserve"> розмірі</w:t>
      </w:r>
      <w:r w:rsidR="002204C1" w:rsidRPr="006D3B9D">
        <w:rPr>
          <w:sz w:val="25"/>
          <w:szCs w:val="25"/>
        </w:rPr>
        <w:t xml:space="preserve"> 1</w:t>
      </w:r>
      <w:r w:rsidRPr="006D3B9D">
        <w:rPr>
          <w:sz w:val="25"/>
          <w:szCs w:val="25"/>
        </w:rPr>
        <w:t> </w:t>
      </w:r>
      <w:r w:rsidR="002204C1" w:rsidRPr="006D3B9D">
        <w:rPr>
          <w:sz w:val="25"/>
          <w:szCs w:val="25"/>
        </w:rPr>
        <w:t>049</w:t>
      </w:r>
      <w:r w:rsidRPr="006D3B9D">
        <w:rPr>
          <w:sz w:val="25"/>
          <w:szCs w:val="25"/>
        </w:rPr>
        <w:t> </w:t>
      </w:r>
      <w:r w:rsidR="002204C1" w:rsidRPr="006D3B9D">
        <w:rPr>
          <w:sz w:val="25"/>
          <w:szCs w:val="25"/>
        </w:rPr>
        <w:t>721 грн (2019</w:t>
      </w:r>
      <w:r w:rsidR="00967109" w:rsidRPr="006D3B9D">
        <w:rPr>
          <w:sz w:val="25"/>
          <w:szCs w:val="25"/>
        </w:rPr>
        <w:t xml:space="preserve"> рік</w:t>
      </w:r>
      <w:r w:rsidR="002204C1" w:rsidRPr="006D3B9D">
        <w:rPr>
          <w:sz w:val="25"/>
          <w:szCs w:val="25"/>
        </w:rPr>
        <w:t xml:space="preserve"> </w:t>
      </w:r>
      <w:r w:rsidRPr="006D3B9D">
        <w:rPr>
          <w:sz w:val="25"/>
          <w:szCs w:val="25"/>
        </w:rPr>
        <w:t>–</w:t>
      </w:r>
      <w:r w:rsidR="002204C1" w:rsidRPr="006D3B9D">
        <w:rPr>
          <w:sz w:val="25"/>
          <w:szCs w:val="25"/>
        </w:rPr>
        <w:t xml:space="preserve"> 359</w:t>
      </w:r>
      <w:r w:rsidRPr="006D3B9D">
        <w:rPr>
          <w:sz w:val="25"/>
          <w:szCs w:val="25"/>
        </w:rPr>
        <w:t> </w:t>
      </w:r>
      <w:r w:rsidR="002204C1" w:rsidRPr="006D3B9D">
        <w:rPr>
          <w:sz w:val="25"/>
          <w:szCs w:val="25"/>
        </w:rPr>
        <w:t>721,29 грн, 2020</w:t>
      </w:r>
      <w:r w:rsidR="00967109" w:rsidRPr="006D3B9D">
        <w:rPr>
          <w:sz w:val="25"/>
          <w:szCs w:val="25"/>
        </w:rPr>
        <w:t xml:space="preserve"> рік</w:t>
      </w:r>
      <w:r w:rsidR="002204C1" w:rsidRPr="006D3B9D">
        <w:rPr>
          <w:sz w:val="25"/>
          <w:szCs w:val="25"/>
        </w:rPr>
        <w:t xml:space="preserve"> </w:t>
      </w:r>
      <w:r w:rsidR="002C3ADA" w:rsidRPr="006D3B9D">
        <w:rPr>
          <w:sz w:val="25"/>
          <w:szCs w:val="25"/>
        </w:rPr>
        <w:t xml:space="preserve">— </w:t>
      </w:r>
      <w:r w:rsidR="002204C1" w:rsidRPr="006D3B9D">
        <w:rPr>
          <w:sz w:val="25"/>
          <w:szCs w:val="25"/>
        </w:rPr>
        <w:t>600</w:t>
      </w:r>
      <w:r w:rsidRPr="006D3B9D">
        <w:rPr>
          <w:sz w:val="25"/>
          <w:szCs w:val="25"/>
        </w:rPr>
        <w:t> </w:t>
      </w:r>
      <w:r w:rsidR="002204C1" w:rsidRPr="006D3B9D">
        <w:rPr>
          <w:sz w:val="25"/>
          <w:szCs w:val="25"/>
        </w:rPr>
        <w:t xml:space="preserve">000 грн, </w:t>
      </w:r>
      <w:r w:rsidR="002204C1" w:rsidRPr="006D3B9D">
        <w:rPr>
          <w:sz w:val="25"/>
          <w:szCs w:val="25"/>
        </w:rPr>
        <w:lastRenderedPageBreak/>
        <w:t>2021</w:t>
      </w:r>
      <w:r w:rsidR="00967109" w:rsidRPr="006D3B9D">
        <w:rPr>
          <w:sz w:val="25"/>
          <w:szCs w:val="25"/>
        </w:rPr>
        <w:t> рік</w:t>
      </w:r>
      <w:r w:rsidR="002204C1" w:rsidRPr="006D3B9D">
        <w:rPr>
          <w:sz w:val="25"/>
          <w:szCs w:val="25"/>
        </w:rPr>
        <w:t xml:space="preserve"> </w:t>
      </w:r>
      <w:r w:rsidR="002C3ADA" w:rsidRPr="006D3B9D">
        <w:rPr>
          <w:sz w:val="25"/>
          <w:szCs w:val="25"/>
        </w:rPr>
        <w:t>—</w:t>
      </w:r>
      <w:r w:rsidR="002204C1" w:rsidRPr="006D3B9D">
        <w:rPr>
          <w:sz w:val="25"/>
          <w:szCs w:val="25"/>
        </w:rPr>
        <w:t xml:space="preserve"> 90 000 грн)</w:t>
      </w:r>
      <w:r w:rsidRPr="006D3B9D">
        <w:rPr>
          <w:sz w:val="25"/>
          <w:szCs w:val="25"/>
        </w:rPr>
        <w:t xml:space="preserve">, </w:t>
      </w:r>
      <w:r w:rsidR="002204C1" w:rsidRPr="006D3B9D">
        <w:rPr>
          <w:sz w:val="25"/>
          <w:szCs w:val="25"/>
        </w:rPr>
        <w:t>пенсі</w:t>
      </w:r>
      <w:r w:rsidR="00967109" w:rsidRPr="006D3B9D">
        <w:rPr>
          <w:sz w:val="25"/>
          <w:szCs w:val="25"/>
        </w:rPr>
        <w:t>ї</w:t>
      </w:r>
      <w:r w:rsidR="002204C1" w:rsidRPr="006D3B9D">
        <w:rPr>
          <w:sz w:val="25"/>
          <w:szCs w:val="25"/>
        </w:rPr>
        <w:t xml:space="preserve"> кандидатки</w:t>
      </w:r>
      <w:r w:rsidR="00967109" w:rsidRPr="006D3B9D">
        <w:rPr>
          <w:sz w:val="25"/>
          <w:szCs w:val="25"/>
        </w:rPr>
        <w:t xml:space="preserve"> </w:t>
      </w:r>
      <w:r w:rsidR="002C3ADA" w:rsidRPr="006D3B9D">
        <w:rPr>
          <w:sz w:val="25"/>
          <w:szCs w:val="25"/>
        </w:rPr>
        <w:t>в</w:t>
      </w:r>
      <w:r w:rsidR="00967109" w:rsidRPr="006D3B9D">
        <w:rPr>
          <w:sz w:val="25"/>
          <w:szCs w:val="25"/>
        </w:rPr>
        <w:t xml:space="preserve"> розмірі</w:t>
      </w:r>
      <w:r w:rsidR="002204C1" w:rsidRPr="006D3B9D">
        <w:rPr>
          <w:sz w:val="25"/>
          <w:szCs w:val="25"/>
        </w:rPr>
        <w:t xml:space="preserve"> 74</w:t>
      </w:r>
      <w:r w:rsidRPr="006D3B9D">
        <w:rPr>
          <w:sz w:val="25"/>
          <w:szCs w:val="25"/>
        </w:rPr>
        <w:t> </w:t>
      </w:r>
      <w:r w:rsidR="002204C1" w:rsidRPr="006D3B9D">
        <w:rPr>
          <w:sz w:val="25"/>
          <w:szCs w:val="25"/>
        </w:rPr>
        <w:t>392,17 грн (2019</w:t>
      </w:r>
      <w:r w:rsidR="00967109" w:rsidRPr="006D3B9D">
        <w:rPr>
          <w:sz w:val="25"/>
          <w:szCs w:val="25"/>
        </w:rPr>
        <w:t xml:space="preserve"> рік</w:t>
      </w:r>
      <w:r w:rsidR="002204C1" w:rsidRPr="006D3B9D">
        <w:rPr>
          <w:sz w:val="25"/>
          <w:szCs w:val="25"/>
        </w:rPr>
        <w:t xml:space="preserve"> </w:t>
      </w:r>
      <w:r w:rsidRPr="006D3B9D">
        <w:rPr>
          <w:sz w:val="25"/>
          <w:szCs w:val="25"/>
        </w:rPr>
        <w:t>–</w:t>
      </w:r>
      <w:r w:rsidR="002204C1" w:rsidRPr="006D3B9D">
        <w:rPr>
          <w:sz w:val="25"/>
          <w:szCs w:val="25"/>
        </w:rPr>
        <w:t xml:space="preserve"> 23</w:t>
      </w:r>
      <w:r w:rsidRPr="006D3B9D">
        <w:rPr>
          <w:sz w:val="25"/>
          <w:szCs w:val="25"/>
        </w:rPr>
        <w:t> </w:t>
      </w:r>
      <w:r w:rsidR="002204C1" w:rsidRPr="006D3B9D">
        <w:rPr>
          <w:sz w:val="25"/>
          <w:szCs w:val="25"/>
        </w:rPr>
        <w:t>392, 17</w:t>
      </w:r>
      <w:r w:rsidR="00221679" w:rsidRPr="006D3B9D">
        <w:rPr>
          <w:sz w:val="25"/>
          <w:szCs w:val="25"/>
        </w:rPr>
        <w:t> </w:t>
      </w:r>
      <w:r w:rsidR="002204C1" w:rsidRPr="006D3B9D">
        <w:rPr>
          <w:sz w:val="25"/>
          <w:szCs w:val="25"/>
        </w:rPr>
        <w:t>грн, 2020</w:t>
      </w:r>
      <w:r w:rsidR="00967109" w:rsidRPr="006D3B9D">
        <w:rPr>
          <w:sz w:val="25"/>
          <w:szCs w:val="25"/>
        </w:rPr>
        <w:t xml:space="preserve"> рік</w:t>
      </w:r>
      <w:r w:rsidR="002204C1" w:rsidRPr="006D3B9D">
        <w:rPr>
          <w:sz w:val="25"/>
          <w:szCs w:val="25"/>
        </w:rPr>
        <w:t xml:space="preserve"> </w:t>
      </w:r>
      <w:r w:rsidRPr="006D3B9D">
        <w:rPr>
          <w:sz w:val="25"/>
          <w:szCs w:val="25"/>
        </w:rPr>
        <w:t>–</w:t>
      </w:r>
      <w:r w:rsidR="002204C1" w:rsidRPr="006D3B9D">
        <w:rPr>
          <w:sz w:val="25"/>
          <w:szCs w:val="25"/>
        </w:rPr>
        <w:t xml:space="preserve"> 24</w:t>
      </w:r>
      <w:r w:rsidRPr="006D3B9D">
        <w:rPr>
          <w:sz w:val="25"/>
          <w:szCs w:val="25"/>
        </w:rPr>
        <w:t> </w:t>
      </w:r>
      <w:r w:rsidR="002204C1" w:rsidRPr="006D3B9D">
        <w:rPr>
          <w:sz w:val="25"/>
          <w:szCs w:val="25"/>
        </w:rPr>
        <w:t>800 грн., 2021</w:t>
      </w:r>
      <w:r w:rsidR="00967109" w:rsidRPr="006D3B9D">
        <w:rPr>
          <w:sz w:val="25"/>
          <w:szCs w:val="25"/>
        </w:rPr>
        <w:t xml:space="preserve"> рік</w:t>
      </w:r>
      <w:r w:rsidR="002204C1" w:rsidRPr="006D3B9D">
        <w:rPr>
          <w:sz w:val="25"/>
          <w:szCs w:val="25"/>
        </w:rPr>
        <w:t xml:space="preserve"> </w:t>
      </w:r>
      <w:r w:rsidRPr="006D3B9D">
        <w:rPr>
          <w:sz w:val="25"/>
          <w:szCs w:val="25"/>
        </w:rPr>
        <w:t>–</w:t>
      </w:r>
      <w:r w:rsidR="002204C1" w:rsidRPr="006D3B9D">
        <w:rPr>
          <w:sz w:val="25"/>
          <w:szCs w:val="25"/>
        </w:rPr>
        <w:t xml:space="preserve"> 26</w:t>
      </w:r>
      <w:r w:rsidRPr="006D3B9D">
        <w:rPr>
          <w:sz w:val="25"/>
          <w:szCs w:val="25"/>
        </w:rPr>
        <w:t> </w:t>
      </w:r>
      <w:r w:rsidR="002204C1" w:rsidRPr="006D3B9D">
        <w:rPr>
          <w:sz w:val="25"/>
          <w:szCs w:val="25"/>
        </w:rPr>
        <w:t>200</w:t>
      </w:r>
      <w:r w:rsidRPr="006D3B9D">
        <w:rPr>
          <w:sz w:val="25"/>
          <w:szCs w:val="25"/>
        </w:rPr>
        <w:t xml:space="preserve"> </w:t>
      </w:r>
      <w:r w:rsidR="002204C1" w:rsidRPr="006D3B9D">
        <w:rPr>
          <w:sz w:val="25"/>
          <w:szCs w:val="25"/>
        </w:rPr>
        <w:t>грн.)</w:t>
      </w:r>
      <w:r w:rsidRPr="006D3B9D">
        <w:rPr>
          <w:sz w:val="25"/>
          <w:szCs w:val="25"/>
        </w:rPr>
        <w:t xml:space="preserve">, </w:t>
      </w:r>
      <w:r w:rsidR="002204C1" w:rsidRPr="006D3B9D">
        <w:rPr>
          <w:sz w:val="25"/>
          <w:szCs w:val="25"/>
        </w:rPr>
        <w:t>заробітн</w:t>
      </w:r>
      <w:r w:rsidR="00967109" w:rsidRPr="006D3B9D">
        <w:rPr>
          <w:sz w:val="25"/>
          <w:szCs w:val="25"/>
        </w:rPr>
        <w:t>ої</w:t>
      </w:r>
      <w:r w:rsidR="002204C1" w:rsidRPr="006D3B9D">
        <w:rPr>
          <w:sz w:val="25"/>
          <w:szCs w:val="25"/>
        </w:rPr>
        <w:t xml:space="preserve"> плат</w:t>
      </w:r>
      <w:r w:rsidR="00967109" w:rsidRPr="006D3B9D">
        <w:rPr>
          <w:sz w:val="25"/>
          <w:szCs w:val="25"/>
        </w:rPr>
        <w:t>и</w:t>
      </w:r>
      <w:r w:rsidR="002204C1" w:rsidRPr="006D3B9D">
        <w:rPr>
          <w:sz w:val="25"/>
          <w:szCs w:val="25"/>
        </w:rPr>
        <w:t xml:space="preserve"> чоловіка</w:t>
      </w:r>
      <w:r w:rsidR="00967109" w:rsidRPr="006D3B9D">
        <w:rPr>
          <w:sz w:val="25"/>
          <w:szCs w:val="25"/>
        </w:rPr>
        <w:t xml:space="preserve"> у 2021 році </w:t>
      </w:r>
      <w:r w:rsidR="002C3ADA" w:rsidRPr="006D3B9D">
        <w:rPr>
          <w:sz w:val="25"/>
          <w:szCs w:val="25"/>
        </w:rPr>
        <w:t>в</w:t>
      </w:r>
      <w:r w:rsidR="00967109" w:rsidRPr="006D3B9D">
        <w:rPr>
          <w:sz w:val="25"/>
          <w:szCs w:val="25"/>
        </w:rPr>
        <w:t xml:space="preserve"> розмірі</w:t>
      </w:r>
      <w:r w:rsidR="002204C1" w:rsidRPr="006D3B9D">
        <w:rPr>
          <w:sz w:val="25"/>
          <w:szCs w:val="25"/>
        </w:rPr>
        <w:t xml:space="preserve"> 52</w:t>
      </w:r>
      <w:r w:rsidR="00967109" w:rsidRPr="006D3B9D">
        <w:rPr>
          <w:sz w:val="25"/>
          <w:szCs w:val="25"/>
        </w:rPr>
        <w:t> </w:t>
      </w:r>
      <w:r w:rsidR="002204C1" w:rsidRPr="006D3B9D">
        <w:rPr>
          <w:sz w:val="25"/>
          <w:szCs w:val="25"/>
        </w:rPr>
        <w:t>071</w:t>
      </w:r>
      <w:r w:rsidR="00967109" w:rsidRPr="006D3B9D">
        <w:rPr>
          <w:sz w:val="25"/>
          <w:szCs w:val="25"/>
        </w:rPr>
        <w:t xml:space="preserve"> </w:t>
      </w:r>
      <w:r w:rsidR="002204C1" w:rsidRPr="006D3B9D">
        <w:rPr>
          <w:sz w:val="25"/>
          <w:szCs w:val="25"/>
        </w:rPr>
        <w:t>грн</w:t>
      </w:r>
      <w:r w:rsidR="00D53541" w:rsidRPr="006D3B9D">
        <w:rPr>
          <w:sz w:val="25"/>
          <w:szCs w:val="25"/>
        </w:rPr>
        <w:t xml:space="preserve">, </w:t>
      </w:r>
      <w:r w:rsidR="002204C1" w:rsidRPr="006D3B9D">
        <w:rPr>
          <w:sz w:val="25"/>
          <w:szCs w:val="25"/>
        </w:rPr>
        <w:t>дох</w:t>
      </w:r>
      <w:r w:rsidR="00967109" w:rsidRPr="006D3B9D">
        <w:rPr>
          <w:sz w:val="25"/>
          <w:szCs w:val="25"/>
        </w:rPr>
        <w:t>о</w:t>
      </w:r>
      <w:r w:rsidR="002204C1" w:rsidRPr="006D3B9D">
        <w:rPr>
          <w:sz w:val="25"/>
          <w:szCs w:val="25"/>
        </w:rPr>
        <w:t>д</w:t>
      </w:r>
      <w:r w:rsidR="00967109" w:rsidRPr="006D3B9D">
        <w:rPr>
          <w:sz w:val="25"/>
          <w:szCs w:val="25"/>
        </w:rPr>
        <w:t>у</w:t>
      </w:r>
      <w:r w:rsidR="002204C1" w:rsidRPr="006D3B9D">
        <w:rPr>
          <w:sz w:val="25"/>
          <w:szCs w:val="25"/>
        </w:rPr>
        <w:t xml:space="preserve"> від продажу </w:t>
      </w:r>
      <w:r w:rsidR="00D53541" w:rsidRPr="006D3B9D">
        <w:rPr>
          <w:sz w:val="25"/>
          <w:szCs w:val="25"/>
        </w:rPr>
        <w:t>автомобіля марки «</w:t>
      </w:r>
      <w:r w:rsidR="002204C1" w:rsidRPr="006D3B9D">
        <w:rPr>
          <w:sz w:val="25"/>
          <w:szCs w:val="25"/>
        </w:rPr>
        <w:t>VOLKSWAGEN PASSAT</w:t>
      </w:r>
      <w:r w:rsidR="00D53541" w:rsidRPr="006D3B9D">
        <w:rPr>
          <w:sz w:val="25"/>
          <w:szCs w:val="25"/>
        </w:rPr>
        <w:t>»</w:t>
      </w:r>
      <w:r w:rsidR="002204C1" w:rsidRPr="006D3B9D">
        <w:rPr>
          <w:sz w:val="25"/>
          <w:szCs w:val="25"/>
        </w:rPr>
        <w:t xml:space="preserve"> 2008 р</w:t>
      </w:r>
      <w:r w:rsidR="00D53541" w:rsidRPr="006D3B9D">
        <w:rPr>
          <w:sz w:val="25"/>
          <w:szCs w:val="25"/>
        </w:rPr>
        <w:t>оку</w:t>
      </w:r>
      <w:r w:rsidR="002204C1" w:rsidRPr="006D3B9D">
        <w:rPr>
          <w:sz w:val="25"/>
          <w:szCs w:val="25"/>
        </w:rPr>
        <w:t xml:space="preserve"> в</w:t>
      </w:r>
      <w:r w:rsidR="00D53541" w:rsidRPr="006D3B9D">
        <w:rPr>
          <w:sz w:val="25"/>
          <w:szCs w:val="25"/>
        </w:rPr>
        <w:t xml:space="preserve">ипуску </w:t>
      </w:r>
      <w:r w:rsidR="00360D50" w:rsidRPr="006D3B9D">
        <w:rPr>
          <w:sz w:val="25"/>
          <w:szCs w:val="25"/>
        </w:rPr>
        <w:t>за</w:t>
      </w:r>
      <w:r w:rsidR="002C3ADA" w:rsidRPr="006D3B9D">
        <w:rPr>
          <w:sz w:val="25"/>
          <w:szCs w:val="25"/>
        </w:rPr>
        <w:t xml:space="preserve"> </w:t>
      </w:r>
      <w:r w:rsidR="002204C1" w:rsidRPr="006D3B9D">
        <w:rPr>
          <w:sz w:val="25"/>
          <w:szCs w:val="25"/>
        </w:rPr>
        <w:t>120</w:t>
      </w:r>
      <w:r w:rsidR="00360D50" w:rsidRPr="006D3B9D">
        <w:rPr>
          <w:sz w:val="25"/>
          <w:szCs w:val="25"/>
        </w:rPr>
        <w:t> </w:t>
      </w:r>
      <w:r w:rsidR="002204C1" w:rsidRPr="006D3B9D">
        <w:rPr>
          <w:sz w:val="25"/>
          <w:szCs w:val="25"/>
        </w:rPr>
        <w:t>000 гр</w:t>
      </w:r>
      <w:r w:rsidR="00360D50" w:rsidRPr="006D3B9D">
        <w:rPr>
          <w:sz w:val="25"/>
          <w:szCs w:val="25"/>
        </w:rPr>
        <w:t>ивень.</w:t>
      </w:r>
    </w:p>
    <w:p w14:paraId="208DA573" w14:textId="10B698D9" w:rsidR="00D53541" w:rsidRPr="006D3B9D" w:rsidRDefault="002204C1" w:rsidP="00360D50">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Витрати </w:t>
      </w:r>
      <w:r w:rsidR="00360D50" w:rsidRPr="006D3B9D">
        <w:rPr>
          <w:sz w:val="25"/>
          <w:szCs w:val="25"/>
        </w:rPr>
        <w:t>для</w:t>
      </w:r>
      <w:r w:rsidRPr="006D3B9D">
        <w:rPr>
          <w:sz w:val="25"/>
          <w:szCs w:val="25"/>
        </w:rPr>
        <w:t xml:space="preserve"> придбання транспортних засобів, </w:t>
      </w:r>
      <w:r w:rsidR="00D53541" w:rsidRPr="006D3B9D">
        <w:rPr>
          <w:sz w:val="25"/>
          <w:szCs w:val="25"/>
        </w:rPr>
        <w:t>їх</w:t>
      </w:r>
      <w:r w:rsidRPr="006D3B9D">
        <w:rPr>
          <w:sz w:val="25"/>
          <w:szCs w:val="25"/>
        </w:rPr>
        <w:t xml:space="preserve"> розмитнення та оплата вартості подорожі</w:t>
      </w:r>
      <w:r w:rsidR="00D53541" w:rsidRPr="006D3B9D">
        <w:rPr>
          <w:sz w:val="25"/>
          <w:szCs w:val="25"/>
        </w:rPr>
        <w:t xml:space="preserve"> </w:t>
      </w:r>
      <w:r w:rsidRPr="006D3B9D">
        <w:rPr>
          <w:sz w:val="25"/>
          <w:szCs w:val="25"/>
        </w:rPr>
        <w:t>станов</w:t>
      </w:r>
      <w:r w:rsidR="00D53541" w:rsidRPr="006D3B9D">
        <w:rPr>
          <w:sz w:val="25"/>
          <w:szCs w:val="25"/>
        </w:rPr>
        <w:t>или</w:t>
      </w:r>
      <w:r w:rsidRPr="006D3B9D">
        <w:rPr>
          <w:sz w:val="25"/>
          <w:szCs w:val="25"/>
        </w:rPr>
        <w:t xml:space="preserve"> 820</w:t>
      </w:r>
      <w:r w:rsidR="00D53541" w:rsidRPr="006D3B9D">
        <w:rPr>
          <w:sz w:val="25"/>
          <w:szCs w:val="25"/>
        </w:rPr>
        <w:t> </w:t>
      </w:r>
      <w:r w:rsidRPr="006D3B9D">
        <w:rPr>
          <w:sz w:val="25"/>
          <w:szCs w:val="25"/>
        </w:rPr>
        <w:t>080</w:t>
      </w:r>
      <w:r w:rsidR="00D53541" w:rsidRPr="006D3B9D">
        <w:rPr>
          <w:sz w:val="25"/>
          <w:szCs w:val="25"/>
        </w:rPr>
        <w:t> </w:t>
      </w:r>
      <w:r w:rsidRPr="006D3B9D">
        <w:rPr>
          <w:sz w:val="25"/>
          <w:szCs w:val="25"/>
        </w:rPr>
        <w:t>96 грн i склад</w:t>
      </w:r>
      <w:r w:rsidR="00360D50" w:rsidRPr="006D3B9D">
        <w:rPr>
          <w:sz w:val="25"/>
          <w:szCs w:val="25"/>
        </w:rPr>
        <w:t>ались</w:t>
      </w:r>
      <w:r w:rsidRPr="006D3B9D">
        <w:rPr>
          <w:sz w:val="25"/>
          <w:szCs w:val="25"/>
        </w:rPr>
        <w:t xml:space="preserve"> з</w:t>
      </w:r>
      <w:r w:rsidR="00360D50" w:rsidRPr="006D3B9D">
        <w:rPr>
          <w:sz w:val="25"/>
          <w:szCs w:val="25"/>
        </w:rPr>
        <w:t xml:space="preserve"> видатків для придбання автомобіля марки «</w:t>
      </w:r>
      <w:r w:rsidRPr="006D3B9D">
        <w:rPr>
          <w:sz w:val="25"/>
          <w:szCs w:val="25"/>
        </w:rPr>
        <w:t>FORD FUSION</w:t>
      </w:r>
      <w:r w:rsidR="00360D50" w:rsidRPr="006D3B9D">
        <w:rPr>
          <w:sz w:val="25"/>
          <w:szCs w:val="25"/>
        </w:rPr>
        <w:t>» вартістю</w:t>
      </w:r>
      <w:r w:rsidR="00D53541" w:rsidRPr="006D3B9D">
        <w:rPr>
          <w:sz w:val="25"/>
          <w:szCs w:val="25"/>
        </w:rPr>
        <w:t xml:space="preserve"> </w:t>
      </w:r>
      <w:r w:rsidRPr="006D3B9D">
        <w:rPr>
          <w:sz w:val="25"/>
          <w:szCs w:val="25"/>
        </w:rPr>
        <w:t>120</w:t>
      </w:r>
      <w:r w:rsidR="00360D50" w:rsidRPr="006D3B9D">
        <w:rPr>
          <w:sz w:val="25"/>
          <w:szCs w:val="25"/>
        </w:rPr>
        <w:t> </w:t>
      </w:r>
      <w:r w:rsidRPr="006D3B9D">
        <w:rPr>
          <w:sz w:val="25"/>
          <w:szCs w:val="25"/>
        </w:rPr>
        <w:t>538, 05 грн + 44</w:t>
      </w:r>
      <w:r w:rsidR="00360D50" w:rsidRPr="006D3B9D">
        <w:rPr>
          <w:sz w:val="25"/>
          <w:szCs w:val="25"/>
        </w:rPr>
        <w:t> </w:t>
      </w:r>
      <w:r w:rsidRPr="006D3B9D">
        <w:rPr>
          <w:sz w:val="25"/>
          <w:szCs w:val="25"/>
        </w:rPr>
        <w:t>326, 00 грн =164</w:t>
      </w:r>
      <w:r w:rsidR="00360D50" w:rsidRPr="006D3B9D">
        <w:rPr>
          <w:sz w:val="25"/>
          <w:szCs w:val="25"/>
        </w:rPr>
        <w:t> </w:t>
      </w:r>
      <w:r w:rsidRPr="006D3B9D">
        <w:rPr>
          <w:sz w:val="25"/>
          <w:szCs w:val="25"/>
        </w:rPr>
        <w:t>864,</w:t>
      </w:r>
      <w:r w:rsidR="00360D50" w:rsidRPr="006D3B9D">
        <w:rPr>
          <w:sz w:val="25"/>
          <w:szCs w:val="25"/>
        </w:rPr>
        <w:t> </w:t>
      </w:r>
      <w:r w:rsidRPr="006D3B9D">
        <w:rPr>
          <w:sz w:val="25"/>
          <w:szCs w:val="25"/>
        </w:rPr>
        <w:t>05</w:t>
      </w:r>
      <w:r w:rsidR="002C3ADA" w:rsidRPr="006D3B9D">
        <w:rPr>
          <w:sz w:val="25"/>
          <w:szCs w:val="25"/>
        </w:rPr>
        <w:t> </w:t>
      </w:r>
      <w:r w:rsidR="00360D50" w:rsidRPr="006D3B9D">
        <w:rPr>
          <w:sz w:val="25"/>
          <w:szCs w:val="25"/>
        </w:rPr>
        <w:t>грн</w:t>
      </w:r>
      <w:r w:rsidRPr="006D3B9D">
        <w:rPr>
          <w:sz w:val="25"/>
          <w:szCs w:val="25"/>
        </w:rPr>
        <w:t>;</w:t>
      </w:r>
      <w:r w:rsidR="00360D50" w:rsidRPr="006D3B9D">
        <w:rPr>
          <w:sz w:val="25"/>
          <w:szCs w:val="25"/>
        </w:rPr>
        <w:t xml:space="preserve"> придбання автомобіля марки «</w:t>
      </w:r>
      <w:r w:rsidRPr="006D3B9D">
        <w:rPr>
          <w:sz w:val="25"/>
          <w:szCs w:val="25"/>
        </w:rPr>
        <w:t>VOLKSWAGEN TIGUAN</w:t>
      </w:r>
      <w:r w:rsidR="00360D50" w:rsidRPr="006D3B9D">
        <w:rPr>
          <w:sz w:val="25"/>
          <w:szCs w:val="25"/>
        </w:rPr>
        <w:t>» вартістю</w:t>
      </w:r>
      <w:r w:rsidR="00D53541" w:rsidRPr="006D3B9D">
        <w:rPr>
          <w:sz w:val="25"/>
          <w:szCs w:val="25"/>
        </w:rPr>
        <w:t xml:space="preserve"> </w:t>
      </w:r>
      <w:r w:rsidRPr="006D3B9D">
        <w:rPr>
          <w:sz w:val="25"/>
          <w:szCs w:val="25"/>
        </w:rPr>
        <w:t>377</w:t>
      </w:r>
      <w:r w:rsidR="00360D50" w:rsidRPr="006D3B9D">
        <w:rPr>
          <w:sz w:val="25"/>
          <w:szCs w:val="25"/>
        </w:rPr>
        <w:t> </w:t>
      </w:r>
      <w:r w:rsidRPr="006D3B9D">
        <w:rPr>
          <w:sz w:val="25"/>
          <w:szCs w:val="25"/>
        </w:rPr>
        <w:t>745,91 грн + 130</w:t>
      </w:r>
      <w:r w:rsidR="00360D50" w:rsidRPr="006D3B9D">
        <w:rPr>
          <w:sz w:val="25"/>
          <w:szCs w:val="25"/>
        </w:rPr>
        <w:t> </w:t>
      </w:r>
      <w:r w:rsidRPr="006D3B9D">
        <w:rPr>
          <w:sz w:val="25"/>
          <w:szCs w:val="25"/>
        </w:rPr>
        <w:t>000 грн</w:t>
      </w:r>
      <w:r w:rsidR="002C3ADA" w:rsidRPr="006D3B9D">
        <w:rPr>
          <w:sz w:val="25"/>
          <w:szCs w:val="25"/>
        </w:rPr>
        <w:t xml:space="preserve"> </w:t>
      </w:r>
      <w:r w:rsidRPr="006D3B9D">
        <w:rPr>
          <w:sz w:val="25"/>
          <w:szCs w:val="25"/>
        </w:rPr>
        <w:t>= 507 745,91 грн</w:t>
      </w:r>
      <w:r w:rsidR="002C3ADA" w:rsidRPr="006D3B9D">
        <w:rPr>
          <w:sz w:val="25"/>
          <w:szCs w:val="25"/>
        </w:rPr>
        <w:t>,</w:t>
      </w:r>
      <w:r w:rsidR="00360D50" w:rsidRPr="006D3B9D">
        <w:rPr>
          <w:sz w:val="25"/>
          <w:szCs w:val="25"/>
        </w:rPr>
        <w:t xml:space="preserve"> придбання мотоцикл</w:t>
      </w:r>
      <w:r w:rsidR="002C3ADA" w:rsidRPr="006D3B9D">
        <w:rPr>
          <w:sz w:val="25"/>
          <w:szCs w:val="25"/>
        </w:rPr>
        <w:t>а</w:t>
      </w:r>
      <w:r w:rsidR="00360D50" w:rsidRPr="006D3B9D">
        <w:rPr>
          <w:sz w:val="25"/>
          <w:szCs w:val="25"/>
        </w:rPr>
        <w:t xml:space="preserve"> марки</w:t>
      </w:r>
      <w:r w:rsidR="00D53541" w:rsidRPr="006D3B9D">
        <w:rPr>
          <w:sz w:val="25"/>
          <w:szCs w:val="25"/>
        </w:rPr>
        <w:t xml:space="preserve"> </w:t>
      </w:r>
      <w:r w:rsidR="00360D50" w:rsidRPr="006D3B9D">
        <w:rPr>
          <w:sz w:val="25"/>
          <w:szCs w:val="25"/>
        </w:rPr>
        <w:t>«</w:t>
      </w:r>
      <w:r w:rsidRPr="006D3B9D">
        <w:rPr>
          <w:sz w:val="25"/>
          <w:szCs w:val="25"/>
        </w:rPr>
        <w:t>BAJAJ DOMINAR D 400</w:t>
      </w:r>
      <w:r w:rsidR="00360D50" w:rsidRPr="006D3B9D">
        <w:rPr>
          <w:sz w:val="25"/>
          <w:szCs w:val="25"/>
        </w:rPr>
        <w:t>»</w:t>
      </w:r>
      <w:r w:rsidRPr="006D3B9D">
        <w:rPr>
          <w:sz w:val="25"/>
          <w:szCs w:val="25"/>
        </w:rPr>
        <w:t xml:space="preserve"> </w:t>
      </w:r>
      <w:r w:rsidR="00360D50" w:rsidRPr="006D3B9D">
        <w:rPr>
          <w:sz w:val="25"/>
          <w:szCs w:val="25"/>
        </w:rPr>
        <w:t xml:space="preserve">вартістю </w:t>
      </w:r>
      <w:r w:rsidRPr="006D3B9D">
        <w:rPr>
          <w:sz w:val="25"/>
          <w:szCs w:val="25"/>
        </w:rPr>
        <w:t>127 071 гр</w:t>
      </w:r>
      <w:r w:rsidR="002C3ADA" w:rsidRPr="006D3B9D">
        <w:rPr>
          <w:sz w:val="25"/>
          <w:szCs w:val="25"/>
        </w:rPr>
        <w:t>н</w:t>
      </w:r>
      <w:r w:rsidR="00360D50" w:rsidRPr="006D3B9D">
        <w:rPr>
          <w:sz w:val="25"/>
          <w:szCs w:val="25"/>
        </w:rPr>
        <w:t xml:space="preserve">, </w:t>
      </w:r>
      <w:r w:rsidRPr="006D3B9D">
        <w:rPr>
          <w:sz w:val="25"/>
          <w:szCs w:val="25"/>
        </w:rPr>
        <w:t>подорожі</w:t>
      </w:r>
      <w:r w:rsidR="00360D50" w:rsidRPr="006D3B9D">
        <w:rPr>
          <w:sz w:val="25"/>
          <w:szCs w:val="25"/>
        </w:rPr>
        <w:t xml:space="preserve"> вартістю</w:t>
      </w:r>
      <w:r w:rsidRPr="006D3B9D">
        <w:rPr>
          <w:sz w:val="25"/>
          <w:szCs w:val="25"/>
        </w:rPr>
        <w:t xml:space="preserve"> 20</w:t>
      </w:r>
      <w:r w:rsidR="00360D50" w:rsidRPr="006D3B9D">
        <w:rPr>
          <w:sz w:val="25"/>
          <w:szCs w:val="25"/>
        </w:rPr>
        <w:t> </w:t>
      </w:r>
      <w:r w:rsidRPr="006D3B9D">
        <w:rPr>
          <w:sz w:val="25"/>
          <w:szCs w:val="25"/>
        </w:rPr>
        <w:t>400 гр</w:t>
      </w:r>
      <w:r w:rsidR="00360D50" w:rsidRPr="006D3B9D">
        <w:rPr>
          <w:sz w:val="25"/>
          <w:szCs w:val="25"/>
        </w:rPr>
        <w:t>ивень.</w:t>
      </w:r>
    </w:p>
    <w:p w14:paraId="3D6B3C89" w14:textId="24BA074B" w:rsidR="00D53541" w:rsidRPr="006D3B9D" w:rsidRDefault="002204C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Витрати на забезпечення мінімальних базових потреб </w:t>
      </w:r>
      <w:r w:rsidR="00D53541" w:rsidRPr="006D3B9D">
        <w:rPr>
          <w:sz w:val="25"/>
          <w:szCs w:val="25"/>
        </w:rPr>
        <w:t>сім’ї</w:t>
      </w:r>
      <w:r w:rsidRPr="006D3B9D">
        <w:rPr>
          <w:sz w:val="25"/>
          <w:szCs w:val="25"/>
        </w:rPr>
        <w:t xml:space="preserve"> з 3</w:t>
      </w:r>
      <w:r w:rsidR="00360D50" w:rsidRPr="006D3B9D">
        <w:rPr>
          <w:sz w:val="25"/>
          <w:szCs w:val="25"/>
        </w:rPr>
        <w:t xml:space="preserve"> осіб</w:t>
      </w:r>
      <w:r w:rsidRPr="006D3B9D">
        <w:rPr>
          <w:sz w:val="25"/>
          <w:szCs w:val="25"/>
        </w:rPr>
        <w:t xml:space="preserve"> на рівні</w:t>
      </w:r>
      <w:r w:rsidR="00D53541" w:rsidRPr="006D3B9D">
        <w:rPr>
          <w:sz w:val="25"/>
          <w:szCs w:val="25"/>
        </w:rPr>
        <w:t xml:space="preserve"> </w:t>
      </w:r>
      <w:r w:rsidRPr="006D3B9D">
        <w:rPr>
          <w:sz w:val="25"/>
          <w:szCs w:val="25"/>
        </w:rPr>
        <w:t>прожиткового мінімуму за 2019</w:t>
      </w:r>
      <w:r w:rsidR="002C3ADA" w:rsidRPr="006D3B9D">
        <w:rPr>
          <w:sz w:val="25"/>
          <w:szCs w:val="25"/>
        </w:rPr>
        <w:t>—</w:t>
      </w:r>
      <w:r w:rsidRPr="006D3B9D">
        <w:rPr>
          <w:sz w:val="25"/>
          <w:szCs w:val="25"/>
        </w:rPr>
        <w:t>2021 роки с</w:t>
      </w:r>
      <w:r w:rsidR="00360D50" w:rsidRPr="006D3B9D">
        <w:rPr>
          <w:sz w:val="25"/>
          <w:szCs w:val="25"/>
        </w:rPr>
        <w:t>тановили</w:t>
      </w:r>
      <w:r w:rsidRPr="006D3B9D">
        <w:rPr>
          <w:sz w:val="25"/>
          <w:szCs w:val="25"/>
        </w:rPr>
        <w:t xml:space="preserve"> не менше ніж 218</w:t>
      </w:r>
      <w:r w:rsidR="00360D50" w:rsidRPr="006D3B9D">
        <w:rPr>
          <w:sz w:val="25"/>
          <w:szCs w:val="25"/>
        </w:rPr>
        <w:t> </w:t>
      </w:r>
      <w:r w:rsidRPr="006D3B9D">
        <w:rPr>
          <w:sz w:val="25"/>
          <w:szCs w:val="25"/>
        </w:rPr>
        <w:t>852 грн:</w:t>
      </w:r>
      <w:r w:rsidR="00D53541" w:rsidRPr="006D3B9D">
        <w:rPr>
          <w:sz w:val="25"/>
          <w:szCs w:val="25"/>
        </w:rPr>
        <w:t xml:space="preserve"> </w:t>
      </w:r>
      <w:r w:rsidRPr="006D3B9D">
        <w:rPr>
          <w:sz w:val="25"/>
          <w:szCs w:val="25"/>
        </w:rPr>
        <w:t>2019</w:t>
      </w:r>
      <w:r w:rsidR="002C3ADA" w:rsidRPr="006D3B9D">
        <w:rPr>
          <w:sz w:val="25"/>
          <w:szCs w:val="25"/>
        </w:rPr>
        <w:t> </w:t>
      </w:r>
      <w:r w:rsidR="00360D50" w:rsidRPr="006D3B9D">
        <w:rPr>
          <w:sz w:val="25"/>
          <w:szCs w:val="25"/>
        </w:rPr>
        <w:t>рік</w:t>
      </w:r>
      <w:r w:rsidR="002C3ADA" w:rsidRPr="006D3B9D">
        <w:rPr>
          <w:sz w:val="25"/>
          <w:szCs w:val="25"/>
        </w:rPr>
        <w:t xml:space="preserve"> — </w:t>
      </w:r>
      <w:r w:rsidRPr="006D3B9D">
        <w:rPr>
          <w:sz w:val="25"/>
          <w:szCs w:val="25"/>
        </w:rPr>
        <w:t>1921 х 3 х 12 = 66</w:t>
      </w:r>
      <w:r w:rsidR="00360D50" w:rsidRPr="006D3B9D">
        <w:rPr>
          <w:sz w:val="25"/>
          <w:szCs w:val="25"/>
        </w:rPr>
        <w:t> </w:t>
      </w:r>
      <w:r w:rsidRPr="006D3B9D">
        <w:rPr>
          <w:sz w:val="25"/>
          <w:szCs w:val="25"/>
        </w:rPr>
        <w:t>765</w:t>
      </w:r>
      <w:r w:rsidR="00360D50" w:rsidRPr="006D3B9D">
        <w:rPr>
          <w:sz w:val="25"/>
          <w:szCs w:val="25"/>
        </w:rPr>
        <w:t xml:space="preserve"> </w:t>
      </w:r>
      <w:r w:rsidRPr="006D3B9D">
        <w:rPr>
          <w:sz w:val="25"/>
          <w:szCs w:val="25"/>
        </w:rPr>
        <w:t>грн;</w:t>
      </w:r>
      <w:r w:rsidR="00D53541" w:rsidRPr="006D3B9D">
        <w:rPr>
          <w:sz w:val="25"/>
          <w:szCs w:val="25"/>
        </w:rPr>
        <w:t xml:space="preserve"> </w:t>
      </w:r>
      <w:r w:rsidRPr="006D3B9D">
        <w:rPr>
          <w:sz w:val="25"/>
          <w:szCs w:val="25"/>
        </w:rPr>
        <w:t>2020</w:t>
      </w:r>
      <w:r w:rsidR="00360D50" w:rsidRPr="006D3B9D">
        <w:rPr>
          <w:sz w:val="25"/>
          <w:szCs w:val="25"/>
        </w:rPr>
        <w:t xml:space="preserve"> рік –</w:t>
      </w:r>
      <w:r w:rsidRPr="006D3B9D">
        <w:rPr>
          <w:sz w:val="25"/>
          <w:szCs w:val="25"/>
        </w:rPr>
        <w:t xml:space="preserve"> 2</w:t>
      </w:r>
      <w:r w:rsidR="00360D50" w:rsidRPr="006D3B9D">
        <w:rPr>
          <w:sz w:val="25"/>
          <w:szCs w:val="25"/>
        </w:rPr>
        <w:t> </w:t>
      </w:r>
      <w:r w:rsidRPr="006D3B9D">
        <w:rPr>
          <w:sz w:val="25"/>
          <w:szCs w:val="25"/>
        </w:rPr>
        <w:t>102 х 3 х 12 = 73</w:t>
      </w:r>
      <w:r w:rsidR="00360D50" w:rsidRPr="006D3B9D">
        <w:rPr>
          <w:sz w:val="25"/>
          <w:szCs w:val="25"/>
        </w:rPr>
        <w:t> </w:t>
      </w:r>
      <w:r w:rsidRPr="006D3B9D">
        <w:rPr>
          <w:sz w:val="25"/>
          <w:szCs w:val="25"/>
        </w:rPr>
        <w:t>061 грн;</w:t>
      </w:r>
      <w:r w:rsidR="00D53541" w:rsidRPr="006D3B9D">
        <w:rPr>
          <w:sz w:val="25"/>
          <w:szCs w:val="25"/>
        </w:rPr>
        <w:t xml:space="preserve"> </w:t>
      </w:r>
      <w:r w:rsidRPr="006D3B9D">
        <w:rPr>
          <w:sz w:val="25"/>
          <w:szCs w:val="25"/>
        </w:rPr>
        <w:t>2021</w:t>
      </w:r>
      <w:r w:rsidR="00360D50" w:rsidRPr="006D3B9D">
        <w:rPr>
          <w:sz w:val="25"/>
          <w:szCs w:val="25"/>
        </w:rPr>
        <w:t xml:space="preserve"> рік –</w:t>
      </w:r>
      <w:r w:rsidRPr="006D3B9D">
        <w:rPr>
          <w:sz w:val="25"/>
          <w:szCs w:val="25"/>
        </w:rPr>
        <w:t xml:space="preserve"> 2</w:t>
      </w:r>
      <w:r w:rsidR="00360D50" w:rsidRPr="006D3B9D">
        <w:rPr>
          <w:sz w:val="25"/>
          <w:szCs w:val="25"/>
        </w:rPr>
        <w:t> </w:t>
      </w:r>
      <w:r w:rsidRPr="006D3B9D">
        <w:rPr>
          <w:sz w:val="25"/>
          <w:szCs w:val="25"/>
        </w:rPr>
        <w:t>270 х 3 х 12 = 79</w:t>
      </w:r>
      <w:r w:rsidR="00360D50" w:rsidRPr="006D3B9D">
        <w:rPr>
          <w:sz w:val="25"/>
          <w:szCs w:val="25"/>
        </w:rPr>
        <w:t> </w:t>
      </w:r>
      <w:r w:rsidRPr="006D3B9D">
        <w:rPr>
          <w:sz w:val="25"/>
          <w:szCs w:val="25"/>
        </w:rPr>
        <w:t>026 гр</w:t>
      </w:r>
      <w:r w:rsidR="002C3ADA" w:rsidRPr="006D3B9D">
        <w:rPr>
          <w:sz w:val="25"/>
          <w:szCs w:val="25"/>
        </w:rPr>
        <w:t>ивень.</w:t>
      </w:r>
    </w:p>
    <w:p w14:paraId="6DCC74EB" w14:textId="12703C63" w:rsidR="00D53541" w:rsidRPr="006D3B9D" w:rsidRDefault="002204C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При загальному грошовому доході </w:t>
      </w:r>
      <w:r w:rsidR="00360D50" w:rsidRPr="006D3B9D">
        <w:rPr>
          <w:sz w:val="25"/>
          <w:szCs w:val="25"/>
        </w:rPr>
        <w:t>упродовж</w:t>
      </w:r>
      <w:r w:rsidRPr="006D3B9D">
        <w:rPr>
          <w:sz w:val="25"/>
          <w:szCs w:val="25"/>
        </w:rPr>
        <w:t xml:space="preserve"> 3 рок</w:t>
      </w:r>
      <w:r w:rsidR="00360D50" w:rsidRPr="006D3B9D">
        <w:rPr>
          <w:sz w:val="25"/>
          <w:szCs w:val="25"/>
        </w:rPr>
        <w:t>ів</w:t>
      </w:r>
      <w:r w:rsidRPr="006D3B9D">
        <w:rPr>
          <w:sz w:val="25"/>
          <w:szCs w:val="25"/>
        </w:rPr>
        <w:t xml:space="preserve"> </w:t>
      </w:r>
      <w:r w:rsidR="00360D50" w:rsidRPr="006D3B9D">
        <w:rPr>
          <w:sz w:val="25"/>
          <w:szCs w:val="25"/>
        </w:rPr>
        <w:t>у розмірі</w:t>
      </w:r>
      <w:r w:rsidRPr="006D3B9D">
        <w:rPr>
          <w:sz w:val="25"/>
          <w:szCs w:val="25"/>
        </w:rPr>
        <w:t xml:space="preserve"> 1</w:t>
      </w:r>
      <w:r w:rsidR="00360D50" w:rsidRPr="006D3B9D">
        <w:rPr>
          <w:sz w:val="25"/>
          <w:szCs w:val="25"/>
        </w:rPr>
        <w:t> </w:t>
      </w:r>
      <w:r w:rsidRPr="006D3B9D">
        <w:rPr>
          <w:sz w:val="25"/>
          <w:szCs w:val="25"/>
        </w:rPr>
        <w:t>296</w:t>
      </w:r>
      <w:r w:rsidR="00360D50" w:rsidRPr="006D3B9D">
        <w:rPr>
          <w:sz w:val="25"/>
          <w:szCs w:val="25"/>
        </w:rPr>
        <w:t> </w:t>
      </w:r>
      <w:r w:rsidRPr="006D3B9D">
        <w:rPr>
          <w:sz w:val="25"/>
          <w:szCs w:val="25"/>
        </w:rPr>
        <w:t>184,17</w:t>
      </w:r>
      <w:r w:rsidR="00360D50" w:rsidRPr="006D3B9D">
        <w:rPr>
          <w:sz w:val="25"/>
          <w:szCs w:val="25"/>
        </w:rPr>
        <w:t> </w:t>
      </w:r>
      <w:r w:rsidRPr="006D3B9D">
        <w:rPr>
          <w:sz w:val="25"/>
          <w:szCs w:val="25"/>
        </w:rPr>
        <w:t>грн i витратах на мінімальне</w:t>
      </w:r>
      <w:r w:rsidR="00D53541" w:rsidRPr="006D3B9D">
        <w:rPr>
          <w:sz w:val="25"/>
          <w:szCs w:val="25"/>
        </w:rPr>
        <w:t xml:space="preserve"> </w:t>
      </w:r>
      <w:r w:rsidRPr="006D3B9D">
        <w:rPr>
          <w:sz w:val="25"/>
          <w:szCs w:val="25"/>
        </w:rPr>
        <w:t xml:space="preserve">забезпечення </w:t>
      </w:r>
      <w:r w:rsidR="00D53541" w:rsidRPr="006D3B9D">
        <w:rPr>
          <w:sz w:val="25"/>
          <w:szCs w:val="25"/>
        </w:rPr>
        <w:t>сім’ї</w:t>
      </w:r>
      <w:r w:rsidRPr="006D3B9D">
        <w:rPr>
          <w:sz w:val="25"/>
          <w:szCs w:val="25"/>
        </w:rPr>
        <w:t xml:space="preserve"> </w:t>
      </w:r>
      <w:r w:rsidR="002C3ADA" w:rsidRPr="006D3B9D">
        <w:rPr>
          <w:sz w:val="25"/>
          <w:szCs w:val="25"/>
        </w:rPr>
        <w:t>в</w:t>
      </w:r>
      <w:r w:rsidRPr="006D3B9D">
        <w:rPr>
          <w:sz w:val="25"/>
          <w:szCs w:val="25"/>
        </w:rPr>
        <w:t xml:space="preserve"> сумі 218</w:t>
      </w:r>
      <w:r w:rsidR="00360D50" w:rsidRPr="006D3B9D">
        <w:rPr>
          <w:sz w:val="25"/>
          <w:szCs w:val="25"/>
        </w:rPr>
        <w:t> </w:t>
      </w:r>
      <w:r w:rsidRPr="006D3B9D">
        <w:rPr>
          <w:sz w:val="25"/>
          <w:szCs w:val="25"/>
        </w:rPr>
        <w:t>852 грн залишок грошових коштів, за рахунок яких можливо з</w:t>
      </w:r>
      <w:r w:rsidR="00360D50" w:rsidRPr="006D3B9D">
        <w:rPr>
          <w:sz w:val="25"/>
          <w:szCs w:val="25"/>
        </w:rPr>
        <w:t xml:space="preserve">дійснити видатки для </w:t>
      </w:r>
      <w:r w:rsidRPr="006D3B9D">
        <w:rPr>
          <w:sz w:val="25"/>
          <w:szCs w:val="25"/>
        </w:rPr>
        <w:t>придбання транспортних засобів та оплату вартості туристичної подорожі</w:t>
      </w:r>
      <w:r w:rsidR="002C3ADA" w:rsidRPr="006D3B9D">
        <w:rPr>
          <w:sz w:val="25"/>
          <w:szCs w:val="25"/>
        </w:rPr>
        <w:t>,</w:t>
      </w:r>
      <w:r w:rsidRPr="006D3B9D">
        <w:rPr>
          <w:sz w:val="25"/>
          <w:szCs w:val="25"/>
        </w:rPr>
        <w:t xml:space="preserve"> с</w:t>
      </w:r>
      <w:r w:rsidR="00D53541" w:rsidRPr="006D3B9D">
        <w:rPr>
          <w:sz w:val="25"/>
          <w:szCs w:val="25"/>
        </w:rPr>
        <w:t xml:space="preserve">тановив </w:t>
      </w:r>
      <w:r w:rsidRPr="006D3B9D">
        <w:rPr>
          <w:sz w:val="25"/>
          <w:szCs w:val="25"/>
        </w:rPr>
        <w:t>1</w:t>
      </w:r>
      <w:r w:rsidR="00360D50" w:rsidRPr="006D3B9D">
        <w:rPr>
          <w:sz w:val="25"/>
          <w:szCs w:val="25"/>
        </w:rPr>
        <w:t> </w:t>
      </w:r>
      <w:r w:rsidRPr="006D3B9D">
        <w:rPr>
          <w:sz w:val="25"/>
          <w:szCs w:val="25"/>
        </w:rPr>
        <w:t>077</w:t>
      </w:r>
      <w:r w:rsidR="00360D50" w:rsidRPr="006D3B9D">
        <w:rPr>
          <w:sz w:val="25"/>
          <w:szCs w:val="25"/>
        </w:rPr>
        <w:t> </w:t>
      </w:r>
      <w:r w:rsidRPr="006D3B9D">
        <w:rPr>
          <w:sz w:val="25"/>
          <w:szCs w:val="25"/>
        </w:rPr>
        <w:t xml:space="preserve">332,17 грн </w:t>
      </w:r>
      <w:r w:rsidR="00360D50" w:rsidRPr="006D3B9D">
        <w:rPr>
          <w:sz w:val="25"/>
          <w:szCs w:val="25"/>
        </w:rPr>
        <w:t xml:space="preserve">з </w:t>
      </w:r>
      <w:r w:rsidR="002C3ADA" w:rsidRPr="006D3B9D">
        <w:rPr>
          <w:sz w:val="25"/>
          <w:szCs w:val="25"/>
        </w:rPr>
        <w:t>у</w:t>
      </w:r>
      <w:r w:rsidR="00360D50" w:rsidRPr="006D3B9D">
        <w:rPr>
          <w:sz w:val="25"/>
          <w:szCs w:val="25"/>
        </w:rPr>
        <w:t>рахуванням</w:t>
      </w:r>
      <w:r w:rsidRPr="006D3B9D">
        <w:rPr>
          <w:sz w:val="25"/>
          <w:szCs w:val="25"/>
        </w:rPr>
        <w:t xml:space="preserve"> </w:t>
      </w:r>
      <w:r w:rsidR="00360D50" w:rsidRPr="006D3B9D">
        <w:rPr>
          <w:sz w:val="25"/>
          <w:szCs w:val="25"/>
        </w:rPr>
        <w:t>вартості</w:t>
      </w:r>
      <w:r w:rsidRPr="006D3B9D">
        <w:rPr>
          <w:sz w:val="25"/>
          <w:szCs w:val="25"/>
        </w:rPr>
        <w:t xml:space="preserve"> придбаних транспортних засобів</w:t>
      </w:r>
      <w:r w:rsidR="00360D50" w:rsidRPr="006D3B9D">
        <w:rPr>
          <w:sz w:val="25"/>
          <w:szCs w:val="25"/>
        </w:rPr>
        <w:t>,</w:t>
      </w:r>
      <w:r w:rsidRPr="006D3B9D">
        <w:rPr>
          <w:sz w:val="25"/>
          <w:szCs w:val="25"/>
        </w:rPr>
        <w:t xml:space="preserve"> витрат на </w:t>
      </w:r>
      <w:r w:rsidR="00D53541" w:rsidRPr="006D3B9D">
        <w:rPr>
          <w:sz w:val="25"/>
          <w:szCs w:val="25"/>
        </w:rPr>
        <w:t xml:space="preserve">їх </w:t>
      </w:r>
      <w:r w:rsidRPr="006D3B9D">
        <w:rPr>
          <w:sz w:val="25"/>
          <w:szCs w:val="25"/>
        </w:rPr>
        <w:t xml:space="preserve">розмитнення </w:t>
      </w:r>
      <w:r w:rsidR="00360D50" w:rsidRPr="006D3B9D">
        <w:rPr>
          <w:sz w:val="25"/>
          <w:szCs w:val="25"/>
        </w:rPr>
        <w:t>у</w:t>
      </w:r>
      <w:r w:rsidRPr="006D3B9D">
        <w:rPr>
          <w:sz w:val="25"/>
          <w:szCs w:val="25"/>
        </w:rPr>
        <w:t xml:space="preserve"> 2020</w:t>
      </w:r>
      <w:r w:rsidR="002C3ADA" w:rsidRPr="006D3B9D">
        <w:rPr>
          <w:sz w:val="25"/>
          <w:szCs w:val="25"/>
        </w:rPr>
        <w:t>—</w:t>
      </w:r>
      <w:r w:rsidRPr="006D3B9D">
        <w:rPr>
          <w:sz w:val="25"/>
          <w:szCs w:val="25"/>
        </w:rPr>
        <w:t>2021 рок</w:t>
      </w:r>
      <w:r w:rsidR="002C3ADA" w:rsidRPr="006D3B9D">
        <w:rPr>
          <w:sz w:val="25"/>
          <w:szCs w:val="25"/>
        </w:rPr>
        <w:t>ах</w:t>
      </w:r>
      <w:r w:rsidRPr="006D3B9D">
        <w:rPr>
          <w:sz w:val="25"/>
          <w:szCs w:val="25"/>
        </w:rPr>
        <w:t xml:space="preserve"> та варт</w:t>
      </w:r>
      <w:r w:rsidR="002C3ADA" w:rsidRPr="006D3B9D">
        <w:rPr>
          <w:sz w:val="25"/>
          <w:szCs w:val="25"/>
        </w:rPr>
        <w:t>ості</w:t>
      </w:r>
      <w:r w:rsidRPr="006D3B9D">
        <w:rPr>
          <w:sz w:val="25"/>
          <w:szCs w:val="25"/>
        </w:rPr>
        <w:t xml:space="preserve"> подорожі у 2021 році</w:t>
      </w:r>
      <w:r w:rsidR="002C3ADA" w:rsidRPr="006D3B9D">
        <w:rPr>
          <w:sz w:val="25"/>
          <w:szCs w:val="25"/>
        </w:rPr>
        <w:t>,</w:t>
      </w:r>
      <w:r w:rsidRPr="006D3B9D">
        <w:rPr>
          <w:sz w:val="25"/>
          <w:szCs w:val="25"/>
        </w:rPr>
        <w:t xml:space="preserve"> </w:t>
      </w:r>
      <w:r w:rsidR="00360D50" w:rsidRPr="006D3B9D">
        <w:rPr>
          <w:sz w:val="25"/>
          <w:szCs w:val="25"/>
        </w:rPr>
        <w:t>які становили</w:t>
      </w:r>
      <w:r w:rsidRPr="006D3B9D">
        <w:rPr>
          <w:sz w:val="25"/>
          <w:szCs w:val="25"/>
        </w:rPr>
        <w:t xml:space="preserve"> 820</w:t>
      </w:r>
      <w:r w:rsidR="00D53541" w:rsidRPr="006D3B9D">
        <w:rPr>
          <w:sz w:val="25"/>
          <w:szCs w:val="25"/>
        </w:rPr>
        <w:t> </w:t>
      </w:r>
      <w:r w:rsidRPr="006D3B9D">
        <w:rPr>
          <w:sz w:val="25"/>
          <w:szCs w:val="25"/>
        </w:rPr>
        <w:t>080</w:t>
      </w:r>
      <w:r w:rsidR="00D53541" w:rsidRPr="006D3B9D">
        <w:rPr>
          <w:sz w:val="25"/>
          <w:szCs w:val="25"/>
        </w:rPr>
        <w:t>,</w:t>
      </w:r>
      <w:r w:rsidRPr="006D3B9D">
        <w:rPr>
          <w:sz w:val="25"/>
          <w:szCs w:val="25"/>
        </w:rPr>
        <w:t>96</w:t>
      </w:r>
      <w:r w:rsidR="00D53541" w:rsidRPr="006D3B9D">
        <w:rPr>
          <w:sz w:val="25"/>
          <w:szCs w:val="25"/>
        </w:rPr>
        <w:t xml:space="preserve"> </w:t>
      </w:r>
      <w:r w:rsidRPr="006D3B9D">
        <w:rPr>
          <w:sz w:val="25"/>
          <w:szCs w:val="25"/>
        </w:rPr>
        <w:t>гр</w:t>
      </w:r>
      <w:r w:rsidR="00360D50" w:rsidRPr="006D3B9D">
        <w:rPr>
          <w:sz w:val="25"/>
          <w:szCs w:val="25"/>
        </w:rPr>
        <w:t>ивень.</w:t>
      </w:r>
    </w:p>
    <w:p w14:paraId="4D3B5BFC" w14:textId="16363992" w:rsidR="002204C1" w:rsidRPr="006D3B9D" w:rsidRDefault="002204C1"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Отже, су</w:t>
      </w:r>
      <w:r w:rsidR="00D53541" w:rsidRPr="006D3B9D">
        <w:rPr>
          <w:sz w:val="25"/>
          <w:szCs w:val="25"/>
        </w:rPr>
        <w:t>купний</w:t>
      </w:r>
      <w:r w:rsidRPr="006D3B9D">
        <w:rPr>
          <w:sz w:val="25"/>
          <w:szCs w:val="25"/>
        </w:rPr>
        <w:t xml:space="preserve"> грошовий дохід кандидатки </w:t>
      </w:r>
      <w:r w:rsidR="00360D50" w:rsidRPr="006D3B9D">
        <w:rPr>
          <w:sz w:val="25"/>
          <w:szCs w:val="25"/>
        </w:rPr>
        <w:t>упродовж</w:t>
      </w:r>
      <w:r w:rsidRPr="006D3B9D">
        <w:rPr>
          <w:sz w:val="25"/>
          <w:szCs w:val="25"/>
        </w:rPr>
        <w:t xml:space="preserve"> 2019</w:t>
      </w:r>
      <w:r w:rsidR="002C3ADA" w:rsidRPr="006D3B9D">
        <w:rPr>
          <w:sz w:val="25"/>
          <w:szCs w:val="25"/>
        </w:rPr>
        <w:t>—</w:t>
      </w:r>
      <w:r w:rsidRPr="006D3B9D">
        <w:rPr>
          <w:sz w:val="25"/>
          <w:szCs w:val="25"/>
        </w:rPr>
        <w:t>2021 рок</w:t>
      </w:r>
      <w:r w:rsidR="00360D50" w:rsidRPr="006D3B9D">
        <w:rPr>
          <w:sz w:val="25"/>
          <w:szCs w:val="25"/>
        </w:rPr>
        <w:t>ів</w:t>
      </w:r>
      <w:r w:rsidRPr="006D3B9D">
        <w:rPr>
          <w:sz w:val="25"/>
          <w:szCs w:val="25"/>
        </w:rPr>
        <w:t xml:space="preserve"> </w:t>
      </w:r>
      <w:r w:rsidR="00360D50" w:rsidRPr="006D3B9D">
        <w:rPr>
          <w:sz w:val="25"/>
          <w:szCs w:val="25"/>
        </w:rPr>
        <w:t xml:space="preserve">на переконання </w:t>
      </w:r>
      <w:proofErr w:type="spellStart"/>
      <w:r w:rsidR="00360D50" w:rsidRPr="006D3B9D">
        <w:rPr>
          <w:sz w:val="25"/>
          <w:szCs w:val="25"/>
        </w:rPr>
        <w:t>Косогор</w:t>
      </w:r>
      <w:proofErr w:type="spellEnd"/>
      <w:r w:rsidR="00360D50" w:rsidRPr="006D3B9D">
        <w:rPr>
          <w:sz w:val="25"/>
          <w:szCs w:val="25"/>
        </w:rPr>
        <w:t xml:space="preserve"> О.М., </w:t>
      </w:r>
      <w:r w:rsidRPr="006D3B9D">
        <w:rPr>
          <w:sz w:val="25"/>
          <w:szCs w:val="25"/>
        </w:rPr>
        <w:t xml:space="preserve">дозволяв </w:t>
      </w:r>
      <w:r w:rsidR="00D53541" w:rsidRPr="006D3B9D">
        <w:rPr>
          <w:sz w:val="25"/>
          <w:szCs w:val="25"/>
        </w:rPr>
        <w:t>її сім’ї</w:t>
      </w:r>
      <w:r w:rsidR="00360D50" w:rsidRPr="006D3B9D">
        <w:rPr>
          <w:sz w:val="25"/>
          <w:szCs w:val="25"/>
        </w:rPr>
        <w:t xml:space="preserve"> </w:t>
      </w:r>
      <w:r w:rsidRPr="006D3B9D">
        <w:rPr>
          <w:sz w:val="25"/>
          <w:szCs w:val="25"/>
        </w:rPr>
        <w:t>здійснити ви</w:t>
      </w:r>
      <w:r w:rsidR="00360D50" w:rsidRPr="006D3B9D">
        <w:rPr>
          <w:sz w:val="25"/>
          <w:szCs w:val="25"/>
        </w:rPr>
        <w:t>датки</w:t>
      </w:r>
      <w:r w:rsidRPr="006D3B9D">
        <w:rPr>
          <w:sz w:val="25"/>
          <w:szCs w:val="25"/>
        </w:rPr>
        <w:t xml:space="preserve"> </w:t>
      </w:r>
      <w:r w:rsidR="00360D50" w:rsidRPr="006D3B9D">
        <w:rPr>
          <w:sz w:val="25"/>
          <w:szCs w:val="25"/>
        </w:rPr>
        <w:t>для</w:t>
      </w:r>
      <w:r w:rsidRPr="006D3B9D">
        <w:rPr>
          <w:sz w:val="25"/>
          <w:szCs w:val="25"/>
        </w:rPr>
        <w:t xml:space="preserve"> придбання транспортних</w:t>
      </w:r>
      <w:r w:rsidR="00D53541" w:rsidRPr="006D3B9D">
        <w:rPr>
          <w:sz w:val="25"/>
          <w:szCs w:val="25"/>
        </w:rPr>
        <w:t xml:space="preserve"> </w:t>
      </w:r>
      <w:r w:rsidRPr="006D3B9D">
        <w:rPr>
          <w:sz w:val="25"/>
          <w:szCs w:val="25"/>
        </w:rPr>
        <w:t>засобів (якими вона та члени ї</w:t>
      </w:r>
      <w:r w:rsidR="002C3ADA" w:rsidRPr="006D3B9D">
        <w:rPr>
          <w:sz w:val="25"/>
          <w:szCs w:val="25"/>
        </w:rPr>
        <w:t>ї</w:t>
      </w:r>
      <w:r w:rsidRPr="006D3B9D">
        <w:rPr>
          <w:sz w:val="25"/>
          <w:szCs w:val="25"/>
        </w:rPr>
        <w:t xml:space="preserve"> </w:t>
      </w:r>
      <w:r w:rsidR="00D53541" w:rsidRPr="006D3B9D">
        <w:rPr>
          <w:sz w:val="25"/>
          <w:szCs w:val="25"/>
        </w:rPr>
        <w:t>сім’ї</w:t>
      </w:r>
      <w:r w:rsidRPr="006D3B9D">
        <w:rPr>
          <w:sz w:val="25"/>
          <w:szCs w:val="25"/>
        </w:rPr>
        <w:t xml:space="preserve"> користуються до цього часу) та </w:t>
      </w:r>
      <w:r w:rsidR="00360D50" w:rsidRPr="006D3B9D">
        <w:rPr>
          <w:sz w:val="25"/>
          <w:szCs w:val="25"/>
        </w:rPr>
        <w:t>сплатити</w:t>
      </w:r>
      <w:r w:rsidRPr="006D3B9D">
        <w:rPr>
          <w:sz w:val="25"/>
          <w:szCs w:val="25"/>
        </w:rPr>
        <w:t xml:space="preserve"> вартість подорожі.</w:t>
      </w:r>
    </w:p>
    <w:p w14:paraId="22D51B33" w14:textId="394B6683" w:rsidR="003A6ECE" w:rsidRPr="006D3B9D" w:rsidRDefault="003A6ECE"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Комісія приймає такі пояснення кандидатки з огляду на те, що законність джерел походження грошових коштів та їх достатність для здійснення видатків у 2021 році не викликає обґрунтованого сумніву та відповідає офіційним доходам.</w:t>
      </w:r>
    </w:p>
    <w:p w14:paraId="2242946B" w14:textId="601BE2B5" w:rsidR="009959D2" w:rsidRPr="006D3B9D" w:rsidRDefault="009959D2" w:rsidP="00A36F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помилок, допущених </w:t>
      </w:r>
      <w:proofErr w:type="spellStart"/>
      <w:r w:rsidR="002C3ADA" w:rsidRPr="006D3B9D">
        <w:rPr>
          <w:sz w:val="25"/>
          <w:szCs w:val="25"/>
        </w:rPr>
        <w:t>Косогор</w:t>
      </w:r>
      <w:proofErr w:type="spellEnd"/>
      <w:r w:rsidR="002C3ADA" w:rsidRPr="006D3B9D">
        <w:rPr>
          <w:sz w:val="25"/>
          <w:szCs w:val="25"/>
        </w:rPr>
        <w:t xml:space="preserve"> О.М.</w:t>
      </w:r>
      <w:r w:rsidRPr="006D3B9D">
        <w:rPr>
          <w:sz w:val="25"/>
          <w:szCs w:val="25"/>
        </w:rPr>
        <w:t xml:space="preserve"> під час декларування, Комісія встановила таке.</w:t>
      </w:r>
    </w:p>
    <w:p w14:paraId="6E13B357" w14:textId="547B80F8" w:rsidR="0068253D" w:rsidRPr="006D3B9D" w:rsidRDefault="0068253D" w:rsidP="00A36F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Стосовно </w:t>
      </w:r>
      <w:r w:rsidR="000D4E87" w:rsidRPr="006D3B9D">
        <w:rPr>
          <w:sz w:val="25"/>
          <w:szCs w:val="25"/>
        </w:rPr>
        <w:t xml:space="preserve">доходу </w:t>
      </w:r>
      <w:r w:rsidR="00B31659" w:rsidRPr="006D3B9D">
        <w:rPr>
          <w:sz w:val="25"/>
          <w:szCs w:val="25"/>
        </w:rPr>
        <w:t>кандидатки у 20</w:t>
      </w:r>
      <w:r w:rsidR="002204C1" w:rsidRPr="006D3B9D">
        <w:rPr>
          <w:sz w:val="25"/>
          <w:szCs w:val="25"/>
        </w:rPr>
        <w:t>1</w:t>
      </w:r>
      <w:r w:rsidR="00B31659" w:rsidRPr="006D3B9D">
        <w:rPr>
          <w:sz w:val="25"/>
          <w:szCs w:val="25"/>
        </w:rPr>
        <w:t xml:space="preserve">6 році </w:t>
      </w:r>
      <w:r w:rsidR="002C3ADA" w:rsidRPr="006D3B9D">
        <w:rPr>
          <w:sz w:val="25"/>
          <w:szCs w:val="25"/>
        </w:rPr>
        <w:t>в</w:t>
      </w:r>
      <w:r w:rsidR="00B31659" w:rsidRPr="006D3B9D">
        <w:rPr>
          <w:sz w:val="25"/>
          <w:szCs w:val="25"/>
        </w:rPr>
        <w:t xml:space="preserve"> розмірі 15 000 грн та доходу її </w:t>
      </w:r>
      <w:r w:rsidR="000D4E87" w:rsidRPr="006D3B9D">
        <w:rPr>
          <w:sz w:val="25"/>
          <w:szCs w:val="25"/>
        </w:rPr>
        <w:t xml:space="preserve">чоловіка </w:t>
      </w:r>
      <w:r w:rsidR="002C3ADA" w:rsidRPr="006D3B9D">
        <w:rPr>
          <w:sz w:val="25"/>
          <w:szCs w:val="25"/>
        </w:rPr>
        <w:t>в</w:t>
      </w:r>
      <w:r w:rsidR="000D4E87" w:rsidRPr="006D3B9D">
        <w:rPr>
          <w:sz w:val="25"/>
          <w:szCs w:val="25"/>
        </w:rPr>
        <w:t xml:space="preserve"> розмірі 75 000 гр</w:t>
      </w:r>
      <w:r w:rsidR="002C3ADA" w:rsidRPr="006D3B9D">
        <w:rPr>
          <w:sz w:val="25"/>
          <w:szCs w:val="25"/>
        </w:rPr>
        <w:t>ивень.</w:t>
      </w:r>
    </w:p>
    <w:p w14:paraId="6C7BD9FE" w14:textId="3F97912A" w:rsidR="00D53541" w:rsidRPr="006D3B9D" w:rsidRDefault="00B31659"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 декларації за 2016 рік кандидатка зазнач</w:t>
      </w:r>
      <w:r w:rsidR="003921F9" w:rsidRPr="006D3B9D">
        <w:rPr>
          <w:sz w:val="25"/>
          <w:szCs w:val="25"/>
        </w:rPr>
        <w:t>ила</w:t>
      </w:r>
      <w:r w:rsidRPr="006D3B9D">
        <w:rPr>
          <w:sz w:val="25"/>
          <w:szCs w:val="25"/>
        </w:rPr>
        <w:t xml:space="preserve">, що її чоловік отримав дохід від зайняття підприємницькою діяльністю </w:t>
      </w:r>
      <w:r w:rsidR="002C3ADA" w:rsidRPr="006D3B9D">
        <w:rPr>
          <w:sz w:val="25"/>
          <w:szCs w:val="25"/>
        </w:rPr>
        <w:t>в</w:t>
      </w:r>
      <w:r w:rsidRPr="006D3B9D">
        <w:rPr>
          <w:sz w:val="25"/>
          <w:szCs w:val="25"/>
        </w:rPr>
        <w:t xml:space="preserve"> розмірі 75</w:t>
      </w:r>
      <w:r w:rsidR="003921F9" w:rsidRPr="006D3B9D">
        <w:rPr>
          <w:sz w:val="25"/>
          <w:szCs w:val="25"/>
        </w:rPr>
        <w:t> </w:t>
      </w:r>
      <w:r w:rsidRPr="006D3B9D">
        <w:rPr>
          <w:sz w:val="25"/>
          <w:szCs w:val="25"/>
        </w:rPr>
        <w:t xml:space="preserve">000 грн. Відповідно до відомостей ДРФО у 2016 році </w:t>
      </w:r>
      <w:r w:rsidR="002C3ADA" w:rsidRPr="006D3B9D">
        <w:rPr>
          <w:sz w:val="25"/>
          <w:szCs w:val="25"/>
        </w:rPr>
        <w:t>в</w:t>
      </w:r>
      <w:r w:rsidRPr="006D3B9D">
        <w:rPr>
          <w:sz w:val="25"/>
          <w:szCs w:val="25"/>
        </w:rPr>
        <w:t xml:space="preserve"> </w:t>
      </w:r>
      <w:r w:rsidR="00957D5B">
        <w:rPr>
          <w:sz w:val="25"/>
          <w:szCs w:val="25"/>
        </w:rPr>
        <w:t>ОСОБА_3</w:t>
      </w:r>
      <w:r w:rsidRPr="006D3B9D">
        <w:rPr>
          <w:sz w:val="25"/>
          <w:szCs w:val="25"/>
        </w:rPr>
        <w:t xml:space="preserve"> відсутні доходи. Згідно з відомостями ДРФО дохід кандидатки </w:t>
      </w:r>
      <w:r w:rsidR="003921F9" w:rsidRPr="006D3B9D">
        <w:rPr>
          <w:sz w:val="25"/>
          <w:szCs w:val="25"/>
        </w:rPr>
        <w:t xml:space="preserve">у 2016 році </w:t>
      </w:r>
      <w:r w:rsidRPr="006D3B9D">
        <w:rPr>
          <w:sz w:val="25"/>
          <w:szCs w:val="25"/>
        </w:rPr>
        <w:t xml:space="preserve">становив 15 000 грн, проте </w:t>
      </w:r>
      <w:r w:rsidR="002C3ADA" w:rsidRPr="006D3B9D">
        <w:rPr>
          <w:sz w:val="25"/>
          <w:szCs w:val="25"/>
        </w:rPr>
        <w:t>в</w:t>
      </w:r>
      <w:r w:rsidRPr="006D3B9D">
        <w:rPr>
          <w:sz w:val="25"/>
          <w:szCs w:val="25"/>
        </w:rPr>
        <w:t xml:space="preserve"> декларації за 2016 рік інформаці</w:t>
      </w:r>
      <w:r w:rsidR="002C3ADA" w:rsidRPr="006D3B9D">
        <w:rPr>
          <w:sz w:val="25"/>
          <w:szCs w:val="25"/>
        </w:rPr>
        <w:t>ї</w:t>
      </w:r>
      <w:r w:rsidRPr="006D3B9D">
        <w:rPr>
          <w:sz w:val="25"/>
          <w:szCs w:val="25"/>
        </w:rPr>
        <w:t xml:space="preserve"> про такий дохід не відображен</w:t>
      </w:r>
      <w:r w:rsidR="002C3ADA" w:rsidRPr="006D3B9D">
        <w:rPr>
          <w:sz w:val="25"/>
          <w:szCs w:val="25"/>
        </w:rPr>
        <w:t>о</w:t>
      </w:r>
      <w:r w:rsidRPr="006D3B9D">
        <w:rPr>
          <w:sz w:val="25"/>
          <w:szCs w:val="25"/>
        </w:rPr>
        <w:t>.</w:t>
      </w:r>
    </w:p>
    <w:p w14:paraId="34E6F2F8" w14:textId="518DAC35" w:rsidR="00D53541" w:rsidRPr="006D3B9D" w:rsidRDefault="00B31659" w:rsidP="00D5354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своїх письмових поясненнях </w:t>
      </w:r>
      <w:proofErr w:type="spellStart"/>
      <w:r w:rsidR="003921F9" w:rsidRPr="006D3B9D">
        <w:rPr>
          <w:sz w:val="25"/>
          <w:szCs w:val="25"/>
        </w:rPr>
        <w:t>Косогор</w:t>
      </w:r>
      <w:proofErr w:type="spellEnd"/>
      <w:r w:rsidR="003921F9" w:rsidRPr="006D3B9D">
        <w:rPr>
          <w:sz w:val="25"/>
          <w:szCs w:val="25"/>
        </w:rPr>
        <w:t xml:space="preserve"> О.М.</w:t>
      </w:r>
      <w:r w:rsidRPr="006D3B9D">
        <w:rPr>
          <w:sz w:val="25"/>
          <w:szCs w:val="25"/>
        </w:rPr>
        <w:t xml:space="preserve"> зазначила, що </w:t>
      </w:r>
      <w:r w:rsidR="002C3ADA" w:rsidRPr="006D3B9D">
        <w:rPr>
          <w:sz w:val="25"/>
          <w:szCs w:val="25"/>
        </w:rPr>
        <w:t>в</w:t>
      </w:r>
      <w:r w:rsidR="002204C1" w:rsidRPr="006D3B9D">
        <w:rPr>
          <w:sz w:val="25"/>
          <w:szCs w:val="25"/>
        </w:rPr>
        <w:t xml:space="preserve"> розділі 11 «Доходи, у тому числі подарунки» декларації за 2016 рік </w:t>
      </w:r>
      <w:r w:rsidR="002C3ADA" w:rsidRPr="006D3B9D">
        <w:rPr>
          <w:sz w:val="25"/>
          <w:szCs w:val="25"/>
        </w:rPr>
        <w:t>вона помилково вказала</w:t>
      </w:r>
      <w:r w:rsidR="002204C1" w:rsidRPr="006D3B9D">
        <w:rPr>
          <w:sz w:val="25"/>
          <w:szCs w:val="25"/>
        </w:rPr>
        <w:t xml:space="preserve"> дохід від </w:t>
      </w:r>
      <w:r w:rsidR="00D53541" w:rsidRPr="006D3B9D">
        <w:rPr>
          <w:sz w:val="25"/>
          <w:szCs w:val="25"/>
        </w:rPr>
        <w:t>підприємницької</w:t>
      </w:r>
      <w:r w:rsidR="002204C1" w:rsidRPr="006D3B9D">
        <w:rPr>
          <w:sz w:val="25"/>
          <w:szCs w:val="25"/>
        </w:rPr>
        <w:t xml:space="preserve"> діяльності </w:t>
      </w:r>
      <w:r w:rsidR="002C3ADA" w:rsidRPr="006D3B9D">
        <w:rPr>
          <w:sz w:val="25"/>
          <w:szCs w:val="25"/>
        </w:rPr>
        <w:t>в</w:t>
      </w:r>
      <w:r w:rsidR="002204C1" w:rsidRPr="006D3B9D">
        <w:rPr>
          <w:sz w:val="25"/>
          <w:szCs w:val="25"/>
        </w:rPr>
        <w:t xml:space="preserve"> розмірі 75</w:t>
      </w:r>
      <w:r w:rsidR="003921F9" w:rsidRPr="006D3B9D">
        <w:rPr>
          <w:sz w:val="25"/>
          <w:szCs w:val="25"/>
        </w:rPr>
        <w:t> </w:t>
      </w:r>
      <w:r w:rsidR="002204C1" w:rsidRPr="006D3B9D">
        <w:rPr>
          <w:sz w:val="25"/>
          <w:szCs w:val="25"/>
        </w:rPr>
        <w:t>000</w:t>
      </w:r>
      <w:r w:rsidR="00D53541" w:rsidRPr="006D3B9D">
        <w:rPr>
          <w:sz w:val="25"/>
          <w:szCs w:val="25"/>
        </w:rPr>
        <w:t xml:space="preserve"> </w:t>
      </w:r>
      <w:r w:rsidR="002204C1" w:rsidRPr="006D3B9D">
        <w:rPr>
          <w:sz w:val="25"/>
          <w:szCs w:val="25"/>
        </w:rPr>
        <w:t xml:space="preserve">грн, </w:t>
      </w:r>
      <w:r w:rsidR="006E3535" w:rsidRPr="006D3B9D">
        <w:rPr>
          <w:sz w:val="25"/>
          <w:szCs w:val="25"/>
        </w:rPr>
        <w:t>оскільки</w:t>
      </w:r>
      <w:r w:rsidR="002204C1" w:rsidRPr="006D3B9D">
        <w:rPr>
          <w:sz w:val="25"/>
          <w:szCs w:val="25"/>
        </w:rPr>
        <w:t xml:space="preserve"> отриманий дохід у цьому періоді с</w:t>
      </w:r>
      <w:r w:rsidR="00D53541" w:rsidRPr="006D3B9D">
        <w:rPr>
          <w:sz w:val="25"/>
          <w:szCs w:val="25"/>
        </w:rPr>
        <w:t>тановив</w:t>
      </w:r>
      <w:r w:rsidR="002204C1" w:rsidRPr="006D3B9D">
        <w:rPr>
          <w:sz w:val="25"/>
          <w:szCs w:val="25"/>
        </w:rPr>
        <w:t xml:space="preserve"> 15</w:t>
      </w:r>
      <w:r w:rsidR="0054526A" w:rsidRPr="006D3B9D">
        <w:rPr>
          <w:sz w:val="25"/>
          <w:szCs w:val="25"/>
        </w:rPr>
        <w:t> </w:t>
      </w:r>
      <w:r w:rsidR="002204C1" w:rsidRPr="006D3B9D">
        <w:rPr>
          <w:sz w:val="25"/>
          <w:szCs w:val="25"/>
        </w:rPr>
        <w:t>000 грн</w:t>
      </w:r>
      <w:r w:rsidR="00D53541" w:rsidRPr="006D3B9D">
        <w:rPr>
          <w:sz w:val="25"/>
          <w:szCs w:val="25"/>
        </w:rPr>
        <w:t xml:space="preserve">. </w:t>
      </w:r>
      <w:r w:rsidR="002C3ADA" w:rsidRPr="006D3B9D">
        <w:rPr>
          <w:sz w:val="25"/>
          <w:szCs w:val="25"/>
        </w:rPr>
        <w:t>Ця</w:t>
      </w:r>
      <w:r w:rsidR="002204C1" w:rsidRPr="006D3B9D">
        <w:rPr>
          <w:sz w:val="25"/>
          <w:szCs w:val="25"/>
        </w:rPr>
        <w:t xml:space="preserve"> неточність</w:t>
      </w:r>
      <w:r w:rsidR="00D53541" w:rsidRPr="006D3B9D">
        <w:rPr>
          <w:sz w:val="25"/>
          <w:szCs w:val="25"/>
        </w:rPr>
        <w:t xml:space="preserve"> є</w:t>
      </w:r>
      <w:r w:rsidR="002204C1" w:rsidRPr="006D3B9D">
        <w:rPr>
          <w:sz w:val="25"/>
          <w:szCs w:val="25"/>
        </w:rPr>
        <w:t xml:space="preserve"> технічною помилкою (опискою), яка виникла при перенесенні даних із попередньо підготовленої</w:t>
      </w:r>
      <w:r w:rsidR="00D53541" w:rsidRPr="006D3B9D">
        <w:rPr>
          <w:sz w:val="25"/>
          <w:szCs w:val="25"/>
        </w:rPr>
        <w:t xml:space="preserve"> </w:t>
      </w:r>
      <w:r w:rsidR="002204C1" w:rsidRPr="006D3B9D">
        <w:rPr>
          <w:sz w:val="25"/>
          <w:szCs w:val="25"/>
        </w:rPr>
        <w:t>чернетки</w:t>
      </w:r>
      <w:r w:rsidR="0054526A" w:rsidRPr="006D3B9D">
        <w:rPr>
          <w:sz w:val="25"/>
          <w:szCs w:val="25"/>
        </w:rPr>
        <w:t xml:space="preserve"> </w:t>
      </w:r>
      <w:r w:rsidR="002204C1" w:rsidRPr="006D3B9D">
        <w:rPr>
          <w:sz w:val="25"/>
          <w:szCs w:val="25"/>
        </w:rPr>
        <w:t xml:space="preserve">декларації. Під час цього перенесення </w:t>
      </w:r>
      <w:r w:rsidR="002C3ADA" w:rsidRPr="006D3B9D">
        <w:rPr>
          <w:sz w:val="25"/>
          <w:szCs w:val="25"/>
        </w:rPr>
        <w:t>вона</w:t>
      </w:r>
      <w:r w:rsidR="002204C1" w:rsidRPr="006D3B9D">
        <w:rPr>
          <w:sz w:val="25"/>
          <w:szCs w:val="25"/>
        </w:rPr>
        <w:t xml:space="preserve"> помилково прочитала та</w:t>
      </w:r>
      <w:r w:rsidR="00D53541" w:rsidRPr="006D3B9D">
        <w:rPr>
          <w:sz w:val="25"/>
          <w:szCs w:val="25"/>
        </w:rPr>
        <w:t xml:space="preserve"> </w:t>
      </w:r>
      <w:r w:rsidR="002204C1" w:rsidRPr="006D3B9D">
        <w:rPr>
          <w:sz w:val="25"/>
          <w:szCs w:val="25"/>
        </w:rPr>
        <w:t xml:space="preserve">сприйняла цифру </w:t>
      </w:r>
      <w:r w:rsidR="0054526A" w:rsidRPr="006D3B9D">
        <w:rPr>
          <w:sz w:val="25"/>
          <w:szCs w:val="25"/>
        </w:rPr>
        <w:t>«</w:t>
      </w:r>
      <w:r w:rsidR="002204C1" w:rsidRPr="006D3B9D">
        <w:rPr>
          <w:sz w:val="25"/>
          <w:szCs w:val="25"/>
        </w:rPr>
        <w:t>7</w:t>
      </w:r>
      <w:r w:rsidR="0054526A" w:rsidRPr="006D3B9D">
        <w:rPr>
          <w:sz w:val="25"/>
          <w:szCs w:val="25"/>
        </w:rPr>
        <w:t>»</w:t>
      </w:r>
      <w:r w:rsidR="002204C1" w:rsidRPr="006D3B9D">
        <w:rPr>
          <w:sz w:val="25"/>
          <w:szCs w:val="25"/>
        </w:rPr>
        <w:t xml:space="preserve"> замість </w:t>
      </w:r>
      <w:r w:rsidR="0054526A" w:rsidRPr="006D3B9D">
        <w:rPr>
          <w:sz w:val="25"/>
          <w:szCs w:val="25"/>
        </w:rPr>
        <w:t>«</w:t>
      </w:r>
      <w:r w:rsidR="002204C1" w:rsidRPr="006D3B9D">
        <w:rPr>
          <w:sz w:val="25"/>
          <w:szCs w:val="25"/>
        </w:rPr>
        <w:t>1</w:t>
      </w:r>
      <w:r w:rsidR="0054526A" w:rsidRPr="006D3B9D">
        <w:rPr>
          <w:sz w:val="25"/>
          <w:szCs w:val="25"/>
        </w:rPr>
        <w:t>»</w:t>
      </w:r>
      <w:r w:rsidR="002204C1" w:rsidRPr="006D3B9D">
        <w:rPr>
          <w:sz w:val="25"/>
          <w:szCs w:val="25"/>
        </w:rPr>
        <w:t>, що спричинило не</w:t>
      </w:r>
      <w:r w:rsidR="002C3ADA" w:rsidRPr="006D3B9D">
        <w:rPr>
          <w:sz w:val="25"/>
          <w:szCs w:val="25"/>
        </w:rPr>
        <w:t>правильне</w:t>
      </w:r>
      <w:r w:rsidR="002204C1" w:rsidRPr="006D3B9D">
        <w:rPr>
          <w:sz w:val="25"/>
          <w:szCs w:val="25"/>
        </w:rPr>
        <w:t xml:space="preserve"> </w:t>
      </w:r>
      <w:r w:rsidR="00D53541" w:rsidRPr="006D3B9D">
        <w:rPr>
          <w:sz w:val="25"/>
          <w:szCs w:val="25"/>
        </w:rPr>
        <w:t>зазначення</w:t>
      </w:r>
      <w:r w:rsidR="002204C1" w:rsidRPr="006D3B9D">
        <w:rPr>
          <w:sz w:val="25"/>
          <w:szCs w:val="25"/>
        </w:rPr>
        <w:t xml:space="preserve"> суми.</w:t>
      </w:r>
    </w:p>
    <w:p w14:paraId="7DCC6BF6" w14:textId="51809EC7" w:rsidR="00BB4E54" w:rsidRPr="006D3B9D" w:rsidRDefault="00BB4E54"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Стосовно</w:t>
      </w:r>
      <w:r w:rsidR="002204C1" w:rsidRPr="006D3B9D">
        <w:rPr>
          <w:sz w:val="25"/>
          <w:szCs w:val="25"/>
        </w:rPr>
        <w:t xml:space="preserve"> чоловіка</w:t>
      </w:r>
      <w:r w:rsidR="002C3ADA" w:rsidRPr="006D3B9D">
        <w:rPr>
          <w:sz w:val="25"/>
          <w:szCs w:val="25"/>
        </w:rPr>
        <w:t xml:space="preserve"> </w:t>
      </w:r>
      <w:r w:rsidR="00957D5B">
        <w:rPr>
          <w:sz w:val="25"/>
          <w:szCs w:val="25"/>
        </w:rPr>
        <w:t>ОСОБА_3</w:t>
      </w:r>
      <w:r w:rsidR="002204C1" w:rsidRPr="006D3B9D">
        <w:rPr>
          <w:sz w:val="25"/>
          <w:szCs w:val="25"/>
        </w:rPr>
        <w:t>,</w:t>
      </w:r>
      <w:r w:rsidRPr="006D3B9D">
        <w:rPr>
          <w:sz w:val="25"/>
          <w:szCs w:val="25"/>
        </w:rPr>
        <w:t xml:space="preserve"> кандидатка зазначила,</w:t>
      </w:r>
      <w:r w:rsidR="002204C1" w:rsidRPr="006D3B9D">
        <w:rPr>
          <w:sz w:val="25"/>
          <w:szCs w:val="25"/>
        </w:rPr>
        <w:t xml:space="preserve"> </w:t>
      </w:r>
      <w:r w:rsidRPr="006D3B9D">
        <w:rPr>
          <w:sz w:val="25"/>
          <w:szCs w:val="25"/>
        </w:rPr>
        <w:t xml:space="preserve"> </w:t>
      </w:r>
      <w:r w:rsidR="002204C1" w:rsidRPr="006D3B9D">
        <w:rPr>
          <w:sz w:val="25"/>
          <w:szCs w:val="25"/>
        </w:rPr>
        <w:t xml:space="preserve">що </w:t>
      </w:r>
      <w:r w:rsidR="002C3ADA" w:rsidRPr="006D3B9D">
        <w:rPr>
          <w:sz w:val="25"/>
          <w:szCs w:val="25"/>
        </w:rPr>
        <w:t>в</w:t>
      </w:r>
      <w:r w:rsidR="002204C1" w:rsidRPr="006D3B9D">
        <w:rPr>
          <w:sz w:val="25"/>
          <w:szCs w:val="25"/>
        </w:rPr>
        <w:t xml:space="preserve"> </w:t>
      </w:r>
      <w:r w:rsidRPr="006D3B9D">
        <w:rPr>
          <w:sz w:val="25"/>
          <w:szCs w:val="25"/>
        </w:rPr>
        <w:t>декларації</w:t>
      </w:r>
      <w:r w:rsidR="002204C1" w:rsidRPr="006D3B9D">
        <w:rPr>
          <w:sz w:val="25"/>
          <w:szCs w:val="25"/>
        </w:rPr>
        <w:t xml:space="preserve"> за 2016</w:t>
      </w:r>
      <w:r w:rsidR="00957D5B">
        <w:rPr>
          <w:sz w:val="25"/>
          <w:szCs w:val="25"/>
        </w:rPr>
        <w:t> </w:t>
      </w:r>
      <w:r w:rsidR="002204C1" w:rsidRPr="006D3B9D">
        <w:rPr>
          <w:sz w:val="25"/>
          <w:szCs w:val="25"/>
        </w:rPr>
        <w:t xml:space="preserve">рік він був вказаний як член </w:t>
      </w:r>
      <w:r w:rsidRPr="006D3B9D">
        <w:rPr>
          <w:sz w:val="25"/>
          <w:szCs w:val="25"/>
        </w:rPr>
        <w:t>сім’ї</w:t>
      </w:r>
      <w:r w:rsidR="002204C1" w:rsidRPr="006D3B9D">
        <w:rPr>
          <w:sz w:val="25"/>
          <w:szCs w:val="25"/>
        </w:rPr>
        <w:t xml:space="preserve"> </w:t>
      </w:r>
      <w:r w:rsidRPr="006D3B9D">
        <w:rPr>
          <w:sz w:val="25"/>
          <w:szCs w:val="25"/>
        </w:rPr>
        <w:t>суб’єкта</w:t>
      </w:r>
      <w:r w:rsidR="002204C1" w:rsidRPr="006D3B9D">
        <w:rPr>
          <w:sz w:val="25"/>
          <w:szCs w:val="25"/>
        </w:rPr>
        <w:t xml:space="preserve"> декларування, а не як окремий</w:t>
      </w:r>
      <w:r w:rsidRPr="006D3B9D">
        <w:rPr>
          <w:sz w:val="25"/>
          <w:szCs w:val="25"/>
        </w:rPr>
        <w:t xml:space="preserve"> суб’єкт</w:t>
      </w:r>
      <w:r w:rsidR="002204C1" w:rsidRPr="006D3B9D">
        <w:rPr>
          <w:sz w:val="25"/>
          <w:szCs w:val="25"/>
        </w:rPr>
        <w:t xml:space="preserve">, що </w:t>
      </w:r>
      <w:r w:rsidRPr="006D3B9D">
        <w:rPr>
          <w:sz w:val="25"/>
          <w:szCs w:val="25"/>
        </w:rPr>
        <w:t>декларує</w:t>
      </w:r>
      <w:r w:rsidR="002204C1" w:rsidRPr="006D3B9D">
        <w:rPr>
          <w:sz w:val="25"/>
          <w:szCs w:val="25"/>
        </w:rPr>
        <w:t xml:space="preserve"> дохід. У розділі </w:t>
      </w:r>
      <w:r w:rsidRPr="006D3B9D">
        <w:rPr>
          <w:sz w:val="25"/>
          <w:szCs w:val="25"/>
        </w:rPr>
        <w:t>декларації</w:t>
      </w:r>
      <w:r w:rsidR="002204C1" w:rsidRPr="006D3B9D">
        <w:rPr>
          <w:sz w:val="25"/>
          <w:szCs w:val="25"/>
        </w:rPr>
        <w:t xml:space="preserve">, де відображаються доходи членів </w:t>
      </w:r>
      <w:r w:rsidRPr="006D3B9D">
        <w:rPr>
          <w:sz w:val="25"/>
          <w:szCs w:val="25"/>
        </w:rPr>
        <w:t>сім’ї</w:t>
      </w:r>
      <w:r w:rsidR="002204C1" w:rsidRPr="006D3B9D">
        <w:rPr>
          <w:sz w:val="25"/>
          <w:szCs w:val="25"/>
        </w:rPr>
        <w:t>, інформаці</w:t>
      </w:r>
      <w:r w:rsidR="002C3ADA" w:rsidRPr="006D3B9D">
        <w:rPr>
          <w:sz w:val="25"/>
          <w:szCs w:val="25"/>
        </w:rPr>
        <w:t>ю</w:t>
      </w:r>
      <w:r w:rsidRPr="006D3B9D">
        <w:rPr>
          <w:sz w:val="25"/>
          <w:szCs w:val="25"/>
        </w:rPr>
        <w:t xml:space="preserve"> </w:t>
      </w:r>
      <w:r w:rsidR="002204C1" w:rsidRPr="006D3B9D">
        <w:rPr>
          <w:sz w:val="25"/>
          <w:szCs w:val="25"/>
        </w:rPr>
        <w:t>бул</w:t>
      </w:r>
      <w:r w:rsidR="002C3ADA" w:rsidRPr="006D3B9D">
        <w:rPr>
          <w:sz w:val="25"/>
          <w:szCs w:val="25"/>
        </w:rPr>
        <w:t>о</w:t>
      </w:r>
      <w:r w:rsidR="002204C1" w:rsidRPr="006D3B9D">
        <w:rPr>
          <w:sz w:val="25"/>
          <w:szCs w:val="25"/>
        </w:rPr>
        <w:t xml:space="preserve"> </w:t>
      </w:r>
      <w:proofErr w:type="spellStart"/>
      <w:r w:rsidR="002204C1" w:rsidRPr="006D3B9D">
        <w:rPr>
          <w:sz w:val="25"/>
          <w:szCs w:val="25"/>
        </w:rPr>
        <w:t>внесен</w:t>
      </w:r>
      <w:r w:rsidR="002C3ADA" w:rsidRPr="006D3B9D">
        <w:rPr>
          <w:sz w:val="25"/>
          <w:szCs w:val="25"/>
        </w:rPr>
        <w:t>о</w:t>
      </w:r>
      <w:proofErr w:type="spellEnd"/>
      <w:r w:rsidR="002204C1" w:rsidRPr="006D3B9D">
        <w:rPr>
          <w:sz w:val="25"/>
          <w:szCs w:val="25"/>
        </w:rPr>
        <w:t xml:space="preserve"> на підставі приписів Сімейного кодексу України (щодо спільності майна подружжя),</w:t>
      </w:r>
      <w:r w:rsidRPr="006D3B9D">
        <w:rPr>
          <w:sz w:val="25"/>
          <w:szCs w:val="25"/>
        </w:rPr>
        <w:t xml:space="preserve"> </w:t>
      </w:r>
      <w:r w:rsidR="002204C1" w:rsidRPr="006D3B9D">
        <w:rPr>
          <w:sz w:val="25"/>
          <w:szCs w:val="25"/>
        </w:rPr>
        <w:t xml:space="preserve">що могло створити враження наявності </w:t>
      </w:r>
      <w:r w:rsidR="002C3ADA" w:rsidRPr="006D3B9D">
        <w:rPr>
          <w:sz w:val="25"/>
          <w:szCs w:val="25"/>
        </w:rPr>
        <w:t>в</w:t>
      </w:r>
      <w:r w:rsidR="002204C1" w:rsidRPr="006D3B9D">
        <w:rPr>
          <w:sz w:val="25"/>
          <w:szCs w:val="25"/>
        </w:rPr>
        <w:t xml:space="preserve"> нього доходу від </w:t>
      </w:r>
      <w:r w:rsidRPr="006D3B9D">
        <w:rPr>
          <w:sz w:val="25"/>
          <w:szCs w:val="25"/>
        </w:rPr>
        <w:t>підприємницької</w:t>
      </w:r>
      <w:r w:rsidR="002204C1" w:rsidRPr="006D3B9D">
        <w:rPr>
          <w:sz w:val="25"/>
          <w:szCs w:val="25"/>
        </w:rPr>
        <w:t xml:space="preserve"> діяльності</w:t>
      </w:r>
      <w:r w:rsidR="00363A21" w:rsidRPr="006D3B9D">
        <w:rPr>
          <w:sz w:val="25"/>
          <w:szCs w:val="25"/>
        </w:rPr>
        <w:t>, тобто</w:t>
      </w:r>
      <w:r w:rsidR="002204C1" w:rsidRPr="006D3B9D">
        <w:rPr>
          <w:sz w:val="25"/>
          <w:szCs w:val="25"/>
        </w:rPr>
        <w:t xml:space="preserve"> </w:t>
      </w:r>
      <w:r w:rsidR="00363A21" w:rsidRPr="006D3B9D">
        <w:rPr>
          <w:sz w:val="25"/>
          <w:szCs w:val="25"/>
        </w:rPr>
        <w:t>ф</w:t>
      </w:r>
      <w:r w:rsidR="002204C1" w:rsidRPr="006D3B9D">
        <w:rPr>
          <w:sz w:val="25"/>
          <w:szCs w:val="25"/>
        </w:rPr>
        <w:t>актично у 2016 році чоловік</w:t>
      </w:r>
      <w:r w:rsidRPr="006D3B9D">
        <w:rPr>
          <w:sz w:val="25"/>
          <w:szCs w:val="25"/>
        </w:rPr>
        <w:t xml:space="preserve"> кандидатки</w:t>
      </w:r>
      <w:r w:rsidR="002204C1" w:rsidRPr="006D3B9D">
        <w:rPr>
          <w:sz w:val="25"/>
          <w:szCs w:val="25"/>
        </w:rPr>
        <w:t xml:space="preserve"> не отримував доходів</w:t>
      </w:r>
      <w:r w:rsidRPr="006D3B9D">
        <w:rPr>
          <w:sz w:val="25"/>
          <w:szCs w:val="25"/>
        </w:rPr>
        <w:t>.</w:t>
      </w:r>
    </w:p>
    <w:p w14:paraId="1C304298" w14:textId="6B7DB9A7" w:rsidR="00B31659" w:rsidRPr="006D3B9D" w:rsidRDefault="002204C1"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w:t>
      </w:r>
      <w:r w:rsidR="00BB4E54" w:rsidRPr="006D3B9D">
        <w:rPr>
          <w:sz w:val="25"/>
          <w:szCs w:val="25"/>
        </w:rPr>
        <w:t>зв’язку</w:t>
      </w:r>
      <w:r w:rsidRPr="006D3B9D">
        <w:rPr>
          <w:sz w:val="25"/>
          <w:szCs w:val="25"/>
        </w:rPr>
        <w:t xml:space="preserve"> з виявленою помилкою, </w:t>
      </w:r>
      <w:proofErr w:type="spellStart"/>
      <w:r w:rsidR="002C3ADA" w:rsidRPr="006D3B9D">
        <w:rPr>
          <w:sz w:val="25"/>
          <w:szCs w:val="25"/>
        </w:rPr>
        <w:t>Косогор</w:t>
      </w:r>
      <w:proofErr w:type="spellEnd"/>
      <w:r w:rsidR="002C3ADA" w:rsidRPr="006D3B9D">
        <w:rPr>
          <w:sz w:val="25"/>
          <w:szCs w:val="25"/>
        </w:rPr>
        <w:t xml:space="preserve"> О.М.</w:t>
      </w:r>
      <w:r w:rsidRPr="006D3B9D">
        <w:rPr>
          <w:sz w:val="25"/>
          <w:szCs w:val="25"/>
        </w:rPr>
        <w:t xml:space="preserve"> пода</w:t>
      </w:r>
      <w:r w:rsidR="005024CA" w:rsidRPr="006D3B9D">
        <w:rPr>
          <w:sz w:val="25"/>
          <w:szCs w:val="25"/>
        </w:rPr>
        <w:t>ла</w:t>
      </w:r>
      <w:r w:rsidRPr="006D3B9D">
        <w:rPr>
          <w:sz w:val="25"/>
          <w:szCs w:val="25"/>
        </w:rPr>
        <w:t xml:space="preserve"> заяв</w:t>
      </w:r>
      <w:r w:rsidR="005024CA" w:rsidRPr="006D3B9D">
        <w:rPr>
          <w:sz w:val="25"/>
          <w:szCs w:val="25"/>
        </w:rPr>
        <w:t>у</w:t>
      </w:r>
      <w:r w:rsidRPr="006D3B9D">
        <w:rPr>
          <w:sz w:val="25"/>
          <w:szCs w:val="25"/>
        </w:rPr>
        <w:t xml:space="preserve"> про надання </w:t>
      </w:r>
      <w:r w:rsidR="00A03D91" w:rsidRPr="006D3B9D">
        <w:rPr>
          <w:sz w:val="25"/>
          <w:szCs w:val="25"/>
        </w:rPr>
        <w:t xml:space="preserve">їй </w:t>
      </w:r>
      <w:r w:rsidRPr="006D3B9D">
        <w:rPr>
          <w:sz w:val="25"/>
          <w:szCs w:val="25"/>
        </w:rPr>
        <w:t>можливості подати</w:t>
      </w:r>
      <w:r w:rsidR="00BB4E54" w:rsidRPr="006D3B9D">
        <w:rPr>
          <w:sz w:val="25"/>
          <w:szCs w:val="25"/>
        </w:rPr>
        <w:t xml:space="preserve"> </w:t>
      </w:r>
      <w:r w:rsidRPr="006D3B9D">
        <w:rPr>
          <w:sz w:val="25"/>
          <w:szCs w:val="25"/>
        </w:rPr>
        <w:t>виправлену декларацію — 15</w:t>
      </w:r>
      <w:r w:rsidR="00BB4E54" w:rsidRPr="006D3B9D">
        <w:rPr>
          <w:sz w:val="25"/>
          <w:szCs w:val="25"/>
        </w:rPr>
        <w:t xml:space="preserve"> березня </w:t>
      </w:r>
      <w:r w:rsidRPr="006D3B9D">
        <w:rPr>
          <w:sz w:val="25"/>
          <w:szCs w:val="25"/>
        </w:rPr>
        <w:t xml:space="preserve">2018 </w:t>
      </w:r>
      <w:r w:rsidR="00BB4E54" w:rsidRPr="006D3B9D">
        <w:rPr>
          <w:sz w:val="25"/>
          <w:szCs w:val="25"/>
        </w:rPr>
        <w:t xml:space="preserve">року </w:t>
      </w:r>
      <w:r w:rsidRPr="006D3B9D">
        <w:rPr>
          <w:sz w:val="25"/>
          <w:szCs w:val="25"/>
        </w:rPr>
        <w:t>та 16</w:t>
      </w:r>
      <w:r w:rsidR="00A03D91" w:rsidRPr="006D3B9D">
        <w:rPr>
          <w:sz w:val="25"/>
          <w:szCs w:val="25"/>
        </w:rPr>
        <w:t> </w:t>
      </w:r>
      <w:r w:rsidR="00BB4E54" w:rsidRPr="006D3B9D">
        <w:rPr>
          <w:sz w:val="25"/>
          <w:szCs w:val="25"/>
        </w:rPr>
        <w:t xml:space="preserve">березня </w:t>
      </w:r>
      <w:r w:rsidRPr="006D3B9D">
        <w:rPr>
          <w:sz w:val="25"/>
          <w:szCs w:val="25"/>
        </w:rPr>
        <w:t>2018</w:t>
      </w:r>
      <w:r w:rsidR="00221679" w:rsidRPr="006D3B9D">
        <w:rPr>
          <w:sz w:val="25"/>
          <w:szCs w:val="25"/>
        </w:rPr>
        <w:t> </w:t>
      </w:r>
      <w:r w:rsidR="00BB4E54" w:rsidRPr="006D3B9D">
        <w:rPr>
          <w:sz w:val="25"/>
          <w:szCs w:val="25"/>
        </w:rPr>
        <w:t>року</w:t>
      </w:r>
      <w:r w:rsidRPr="006D3B9D">
        <w:rPr>
          <w:sz w:val="25"/>
          <w:szCs w:val="25"/>
        </w:rPr>
        <w:t xml:space="preserve"> відповідно. </w:t>
      </w:r>
      <w:r w:rsidR="000E1DEC" w:rsidRPr="006D3B9D">
        <w:rPr>
          <w:sz w:val="25"/>
          <w:szCs w:val="25"/>
        </w:rPr>
        <w:t>В</w:t>
      </w:r>
      <w:r w:rsidRPr="006D3B9D">
        <w:rPr>
          <w:sz w:val="25"/>
          <w:szCs w:val="25"/>
        </w:rPr>
        <w:t>ідповід</w:t>
      </w:r>
      <w:r w:rsidR="005024CA" w:rsidRPr="006D3B9D">
        <w:rPr>
          <w:sz w:val="25"/>
          <w:szCs w:val="25"/>
        </w:rPr>
        <w:t>ей</w:t>
      </w:r>
      <w:r w:rsidRPr="006D3B9D">
        <w:rPr>
          <w:sz w:val="25"/>
          <w:szCs w:val="25"/>
        </w:rPr>
        <w:t xml:space="preserve"> на зазначені заяви</w:t>
      </w:r>
      <w:r w:rsidR="00BB4E54" w:rsidRPr="006D3B9D">
        <w:rPr>
          <w:sz w:val="25"/>
          <w:szCs w:val="25"/>
        </w:rPr>
        <w:t xml:space="preserve"> </w:t>
      </w:r>
      <w:r w:rsidRPr="006D3B9D">
        <w:rPr>
          <w:sz w:val="25"/>
          <w:szCs w:val="25"/>
        </w:rPr>
        <w:t xml:space="preserve">отримано не було, повторне подання виправленої </w:t>
      </w:r>
      <w:r w:rsidR="00BB4E54" w:rsidRPr="006D3B9D">
        <w:rPr>
          <w:sz w:val="25"/>
          <w:szCs w:val="25"/>
        </w:rPr>
        <w:t>декларації</w:t>
      </w:r>
      <w:r w:rsidRPr="006D3B9D">
        <w:rPr>
          <w:sz w:val="25"/>
          <w:szCs w:val="25"/>
        </w:rPr>
        <w:t xml:space="preserve"> здійснити не вдалося з технічних</w:t>
      </w:r>
      <w:r w:rsidR="00BB4E54" w:rsidRPr="006D3B9D">
        <w:rPr>
          <w:sz w:val="25"/>
          <w:szCs w:val="25"/>
        </w:rPr>
        <w:t xml:space="preserve"> причин.</w:t>
      </w:r>
    </w:p>
    <w:p w14:paraId="0CA338AD" w14:textId="586C4431" w:rsidR="000D4E87" w:rsidRPr="006D3B9D" w:rsidRDefault="000D4E87" w:rsidP="00A36F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Стосовно доходу кандидатки від НШСУ у 2018 році</w:t>
      </w:r>
      <w:r w:rsidR="00994739" w:rsidRPr="006D3B9D">
        <w:rPr>
          <w:sz w:val="25"/>
          <w:szCs w:val="25"/>
        </w:rPr>
        <w:t xml:space="preserve"> Комісія встановила таке.</w:t>
      </w:r>
    </w:p>
    <w:p w14:paraId="7851EBFD" w14:textId="293F4A60" w:rsidR="00BB4E54" w:rsidRPr="006D3B9D" w:rsidRDefault="00994739"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відомостей з ДРФО у 2018 році кандидатка отримала стипендію від НШСУ у розмірі 32</w:t>
      </w:r>
      <w:r w:rsidR="00EF197F" w:rsidRPr="006D3B9D">
        <w:rPr>
          <w:sz w:val="25"/>
          <w:szCs w:val="25"/>
        </w:rPr>
        <w:t> </w:t>
      </w:r>
      <w:r w:rsidRPr="006D3B9D">
        <w:rPr>
          <w:sz w:val="25"/>
          <w:szCs w:val="25"/>
        </w:rPr>
        <w:t>874,19 гр</w:t>
      </w:r>
      <w:r w:rsidR="005024CA" w:rsidRPr="006D3B9D">
        <w:rPr>
          <w:sz w:val="25"/>
          <w:szCs w:val="25"/>
        </w:rPr>
        <w:t>н</w:t>
      </w:r>
      <w:r w:rsidRPr="006D3B9D">
        <w:rPr>
          <w:sz w:val="25"/>
          <w:szCs w:val="25"/>
        </w:rPr>
        <w:t xml:space="preserve">, вказаний дохід у декларації за 2018 рік відображено </w:t>
      </w:r>
      <w:r w:rsidR="005024CA" w:rsidRPr="006D3B9D">
        <w:rPr>
          <w:sz w:val="25"/>
          <w:szCs w:val="25"/>
        </w:rPr>
        <w:t>в</w:t>
      </w:r>
      <w:r w:rsidRPr="006D3B9D">
        <w:rPr>
          <w:sz w:val="25"/>
          <w:szCs w:val="25"/>
        </w:rPr>
        <w:t xml:space="preserve"> розмірі 26</w:t>
      </w:r>
      <w:r w:rsidR="00EF197F" w:rsidRPr="006D3B9D">
        <w:rPr>
          <w:sz w:val="25"/>
          <w:szCs w:val="25"/>
        </w:rPr>
        <w:t> </w:t>
      </w:r>
      <w:r w:rsidRPr="006D3B9D">
        <w:rPr>
          <w:sz w:val="25"/>
          <w:szCs w:val="25"/>
        </w:rPr>
        <w:t>463 гривень.</w:t>
      </w:r>
    </w:p>
    <w:p w14:paraId="0FB1C0E8" w14:textId="1CFEADA8" w:rsidR="00BB4E54" w:rsidRPr="006D3B9D" w:rsidRDefault="00994739"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своїх письмових поясненнях кандидатка вказала, що </w:t>
      </w:r>
      <w:r w:rsidR="00BB4E54" w:rsidRPr="006D3B9D">
        <w:rPr>
          <w:sz w:val="25"/>
          <w:szCs w:val="25"/>
        </w:rPr>
        <w:t>п</w:t>
      </w:r>
      <w:r w:rsidR="00D667CF" w:rsidRPr="006D3B9D">
        <w:rPr>
          <w:sz w:val="25"/>
          <w:szCs w:val="25"/>
        </w:rPr>
        <w:t>ри заповненні декларації за 2018 рік керувалася відомостями, отриманими від банківської</w:t>
      </w:r>
      <w:r w:rsidR="00BB4E54" w:rsidRPr="006D3B9D">
        <w:rPr>
          <w:sz w:val="25"/>
          <w:szCs w:val="25"/>
        </w:rPr>
        <w:t xml:space="preserve"> </w:t>
      </w:r>
      <w:r w:rsidR="00D667CF" w:rsidRPr="006D3B9D">
        <w:rPr>
          <w:sz w:val="25"/>
          <w:szCs w:val="25"/>
        </w:rPr>
        <w:t xml:space="preserve">установи про розмір </w:t>
      </w:r>
      <w:r w:rsidR="00BB4E54" w:rsidRPr="006D3B9D">
        <w:rPr>
          <w:sz w:val="25"/>
          <w:szCs w:val="25"/>
        </w:rPr>
        <w:t>стипендії</w:t>
      </w:r>
      <w:r w:rsidR="00D667CF" w:rsidRPr="006D3B9D">
        <w:rPr>
          <w:sz w:val="25"/>
          <w:szCs w:val="25"/>
        </w:rPr>
        <w:t>, виплаченої Н</w:t>
      </w:r>
      <w:r w:rsidR="00EF197F" w:rsidRPr="006D3B9D">
        <w:rPr>
          <w:sz w:val="25"/>
          <w:szCs w:val="25"/>
        </w:rPr>
        <w:t>ШСУ</w:t>
      </w:r>
      <w:r w:rsidR="00D667CF" w:rsidRPr="006D3B9D">
        <w:rPr>
          <w:sz w:val="25"/>
          <w:szCs w:val="25"/>
        </w:rPr>
        <w:t>. Надана</w:t>
      </w:r>
      <w:r w:rsidR="00BB4E54" w:rsidRPr="006D3B9D">
        <w:rPr>
          <w:sz w:val="25"/>
          <w:szCs w:val="25"/>
        </w:rPr>
        <w:t xml:space="preserve"> </w:t>
      </w:r>
      <w:r w:rsidR="00D667CF" w:rsidRPr="006D3B9D">
        <w:rPr>
          <w:sz w:val="25"/>
          <w:szCs w:val="25"/>
        </w:rPr>
        <w:t>банком інформація містила вже оподатковану суму, зарахован</w:t>
      </w:r>
      <w:r w:rsidR="005024CA" w:rsidRPr="006D3B9D">
        <w:rPr>
          <w:sz w:val="25"/>
          <w:szCs w:val="25"/>
        </w:rPr>
        <w:t>у</w:t>
      </w:r>
      <w:r w:rsidR="00D667CF" w:rsidRPr="006D3B9D">
        <w:rPr>
          <w:sz w:val="25"/>
          <w:szCs w:val="25"/>
        </w:rPr>
        <w:t xml:space="preserve"> на</w:t>
      </w:r>
      <w:r w:rsidR="00EF197F" w:rsidRPr="006D3B9D">
        <w:rPr>
          <w:sz w:val="25"/>
          <w:szCs w:val="25"/>
        </w:rPr>
        <w:t xml:space="preserve"> банківський</w:t>
      </w:r>
      <w:r w:rsidR="00D667CF" w:rsidRPr="006D3B9D">
        <w:rPr>
          <w:sz w:val="25"/>
          <w:szCs w:val="25"/>
        </w:rPr>
        <w:t xml:space="preserve"> рахунок</w:t>
      </w:r>
      <w:r w:rsidR="00BB4E54" w:rsidRPr="006D3B9D">
        <w:rPr>
          <w:sz w:val="25"/>
          <w:szCs w:val="25"/>
        </w:rPr>
        <w:t xml:space="preserve"> </w:t>
      </w:r>
      <w:r w:rsidR="00D667CF" w:rsidRPr="006D3B9D">
        <w:rPr>
          <w:sz w:val="25"/>
          <w:szCs w:val="25"/>
        </w:rPr>
        <w:t>після відрахування податків i зборів</w:t>
      </w:r>
      <w:r w:rsidR="005024CA" w:rsidRPr="006D3B9D">
        <w:rPr>
          <w:sz w:val="25"/>
          <w:szCs w:val="25"/>
        </w:rPr>
        <w:t>,</w:t>
      </w:r>
      <w:r w:rsidR="00D667CF" w:rsidRPr="006D3B9D">
        <w:rPr>
          <w:sz w:val="25"/>
          <w:szCs w:val="25"/>
        </w:rPr>
        <w:t xml:space="preserve"> </w:t>
      </w:r>
      <w:r w:rsidR="005024CA" w:rsidRPr="006D3B9D">
        <w:rPr>
          <w:sz w:val="25"/>
          <w:szCs w:val="25"/>
        </w:rPr>
        <w:t>яка</w:t>
      </w:r>
      <w:r w:rsidR="00D667CF" w:rsidRPr="006D3B9D">
        <w:rPr>
          <w:sz w:val="25"/>
          <w:szCs w:val="25"/>
        </w:rPr>
        <w:t xml:space="preserve"> с</w:t>
      </w:r>
      <w:r w:rsidR="00BB4E54" w:rsidRPr="006D3B9D">
        <w:rPr>
          <w:sz w:val="25"/>
          <w:szCs w:val="25"/>
        </w:rPr>
        <w:t>тановила</w:t>
      </w:r>
      <w:r w:rsidR="00D667CF" w:rsidRPr="006D3B9D">
        <w:rPr>
          <w:sz w:val="25"/>
          <w:szCs w:val="25"/>
        </w:rPr>
        <w:t xml:space="preserve"> 26</w:t>
      </w:r>
      <w:r w:rsidR="00EF197F" w:rsidRPr="006D3B9D">
        <w:rPr>
          <w:sz w:val="25"/>
          <w:szCs w:val="25"/>
        </w:rPr>
        <w:t> </w:t>
      </w:r>
      <w:r w:rsidR="00D667CF" w:rsidRPr="006D3B9D">
        <w:rPr>
          <w:sz w:val="25"/>
          <w:szCs w:val="25"/>
        </w:rPr>
        <w:t>463 г</w:t>
      </w:r>
      <w:r w:rsidR="00EF197F" w:rsidRPr="006D3B9D">
        <w:rPr>
          <w:sz w:val="25"/>
          <w:szCs w:val="25"/>
        </w:rPr>
        <w:t>ривень</w:t>
      </w:r>
      <w:r w:rsidR="00D667CF" w:rsidRPr="006D3B9D">
        <w:rPr>
          <w:sz w:val="25"/>
          <w:szCs w:val="25"/>
        </w:rPr>
        <w:t>.</w:t>
      </w:r>
    </w:p>
    <w:p w14:paraId="54375243" w14:textId="76D6CBF3" w:rsidR="00BB4E54" w:rsidRPr="006D3B9D" w:rsidRDefault="00D667CF"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Загальна сума нарахованої </w:t>
      </w:r>
      <w:r w:rsidR="00BB4E54" w:rsidRPr="006D3B9D">
        <w:rPr>
          <w:sz w:val="25"/>
          <w:szCs w:val="25"/>
        </w:rPr>
        <w:t>стипендії</w:t>
      </w:r>
      <w:r w:rsidRPr="006D3B9D">
        <w:rPr>
          <w:sz w:val="25"/>
          <w:szCs w:val="25"/>
        </w:rPr>
        <w:t xml:space="preserve"> Н</w:t>
      </w:r>
      <w:r w:rsidR="00EF197F" w:rsidRPr="006D3B9D">
        <w:rPr>
          <w:sz w:val="25"/>
          <w:szCs w:val="25"/>
        </w:rPr>
        <w:t>ШСУ</w:t>
      </w:r>
      <w:r w:rsidRPr="006D3B9D">
        <w:rPr>
          <w:sz w:val="25"/>
          <w:szCs w:val="25"/>
        </w:rPr>
        <w:t xml:space="preserve"> за відповідний період</w:t>
      </w:r>
      <w:r w:rsidR="00BB4E54" w:rsidRPr="006D3B9D">
        <w:rPr>
          <w:sz w:val="25"/>
          <w:szCs w:val="25"/>
        </w:rPr>
        <w:t xml:space="preserve"> </w:t>
      </w:r>
      <w:r w:rsidRPr="006D3B9D">
        <w:rPr>
          <w:sz w:val="25"/>
          <w:szCs w:val="25"/>
        </w:rPr>
        <w:t>с</w:t>
      </w:r>
      <w:r w:rsidR="00BB4E54" w:rsidRPr="006D3B9D">
        <w:rPr>
          <w:sz w:val="25"/>
          <w:szCs w:val="25"/>
        </w:rPr>
        <w:t>тановила</w:t>
      </w:r>
      <w:r w:rsidRPr="006D3B9D">
        <w:rPr>
          <w:sz w:val="25"/>
          <w:szCs w:val="25"/>
        </w:rPr>
        <w:t xml:space="preserve"> 32</w:t>
      </w:r>
      <w:r w:rsidR="00EF197F" w:rsidRPr="006D3B9D">
        <w:rPr>
          <w:sz w:val="25"/>
          <w:szCs w:val="25"/>
        </w:rPr>
        <w:t> </w:t>
      </w:r>
      <w:r w:rsidRPr="006D3B9D">
        <w:rPr>
          <w:sz w:val="25"/>
          <w:szCs w:val="25"/>
        </w:rPr>
        <w:t>874,19 грн, з яких бул</w:t>
      </w:r>
      <w:r w:rsidR="005024CA" w:rsidRPr="006D3B9D">
        <w:rPr>
          <w:sz w:val="25"/>
          <w:szCs w:val="25"/>
        </w:rPr>
        <w:t>о</w:t>
      </w:r>
      <w:r w:rsidRPr="006D3B9D">
        <w:rPr>
          <w:sz w:val="25"/>
          <w:szCs w:val="25"/>
        </w:rPr>
        <w:t xml:space="preserve"> утриман</w:t>
      </w:r>
      <w:r w:rsidR="005024CA" w:rsidRPr="006D3B9D">
        <w:rPr>
          <w:sz w:val="25"/>
          <w:szCs w:val="25"/>
        </w:rPr>
        <w:t>о</w:t>
      </w:r>
      <w:r w:rsidRPr="006D3B9D">
        <w:rPr>
          <w:sz w:val="25"/>
          <w:szCs w:val="25"/>
        </w:rPr>
        <w:t>:</w:t>
      </w:r>
      <w:r w:rsidR="00BB4E54" w:rsidRPr="006D3B9D">
        <w:rPr>
          <w:sz w:val="25"/>
          <w:szCs w:val="25"/>
        </w:rPr>
        <w:t xml:space="preserve"> </w:t>
      </w:r>
      <w:r w:rsidRPr="006D3B9D">
        <w:rPr>
          <w:sz w:val="25"/>
          <w:szCs w:val="25"/>
        </w:rPr>
        <w:t>податок на доходи фізичних осіб (18%) — 5</w:t>
      </w:r>
      <w:r w:rsidR="00EF197F" w:rsidRPr="006D3B9D">
        <w:rPr>
          <w:sz w:val="25"/>
          <w:szCs w:val="25"/>
        </w:rPr>
        <w:t> </w:t>
      </w:r>
      <w:r w:rsidRPr="006D3B9D">
        <w:rPr>
          <w:sz w:val="25"/>
          <w:szCs w:val="25"/>
        </w:rPr>
        <w:t>917,35</w:t>
      </w:r>
      <w:r w:rsidR="00EF197F" w:rsidRPr="006D3B9D">
        <w:rPr>
          <w:sz w:val="25"/>
          <w:szCs w:val="25"/>
        </w:rPr>
        <w:t> </w:t>
      </w:r>
      <w:r w:rsidRPr="006D3B9D">
        <w:rPr>
          <w:sz w:val="25"/>
          <w:szCs w:val="25"/>
        </w:rPr>
        <w:t>грн</w:t>
      </w:r>
      <w:r w:rsidR="00BB4E54" w:rsidRPr="006D3B9D">
        <w:rPr>
          <w:sz w:val="25"/>
          <w:szCs w:val="25"/>
        </w:rPr>
        <w:t xml:space="preserve">, </w:t>
      </w:r>
      <w:r w:rsidRPr="006D3B9D">
        <w:rPr>
          <w:sz w:val="25"/>
          <w:szCs w:val="25"/>
        </w:rPr>
        <w:t>військовий збір (1,5%) — 493,11 грн</w:t>
      </w:r>
      <w:r w:rsidR="00BB4E54" w:rsidRPr="006D3B9D">
        <w:rPr>
          <w:sz w:val="25"/>
          <w:szCs w:val="25"/>
        </w:rPr>
        <w:t xml:space="preserve">. </w:t>
      </w:r>
      <w:r w:rsidRPr="006D3B9D">
        <w:rPr>
          <w:sz w:val="25"/>
          <w:szCs w:val="25"/>
        </w:rPr>
        <w:t>Таким чином, фактично отримана на рахунок сума після оподаткування с</w:t>
      </w:r>
      <w:r w:rsidR="00BB4E54" w:rsidRPr="006D3B9D">
        <w:rPr>
          <w:sz w:val="25"/>
          <w:szCs w:val="25"/>
        </w:rPr>
        <w:t>тановила</w:t>
      </w:r>
      <w:r w:rsidRPr="006D3B9D">
        <w:rPr>
          <w:sz w:val="25"/>
          <w:szCs w:val="25"/>
        </w:rPr>
        <w:t xml:space="preserve"> 26</w:t>
      </w:r>
      <w:r w:rsidR="00EF197F" w:rsidRPr="006D3B9D">
        <w:rPr>
          <w:sz w:val="25"/>
          <w:szCs w:val="25"/>
        </w:rPr>
        <w:t> </w:t>
      </w:r>
      <w:r w:rsidRPr="006D3B9D">
        <w:rPr>
          <w:sz w:val="25"/>
          <w:szCs w:val="25"/>
        </w:rPr>
        <w:t>463,73 грн.</w:t>
      </w:r>
    </w:p>
    <w:p w14:paraId="10FB27DD" w14:textId="15256625" w:rsidR="00BB4E54" w:rsidRPr="006D3B9D" w:rsidRDefault="00BB4E54"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w:t>
      </w:r>
      <w:r w:rsidR="00D667CF" w:rsidRPr="006D3B9D">
        <w:rPr>
          <w:sz w:val="25"/>
          <w:szCs w:val="25"/>
        </w:rPr>
        <w:t xml:space="preserve"> зв’язку з тим, що банківська установа надала інформацію вже після </w:t>
      </w:r>
      <w:r w:rsidRPr="006D3B9D">
        <w:rPr>
          <w:sz w:val="25"/>
          <w:szCs w:val="25"/>
        </w:rPr>
        <w:t>утримання</w:t>
      </w:r>
      <w:r w:rsidR="00D667CF" w:rsidRPr="006D3B9D">
        <w:rPr>
          <w:sz w:val="25"/>
          <w:szCs w:val="25"/>
        </w:rPr>
        <w:t xml:space="preserve"> податків, </w:t>
      </w:r>
      <w:r w:rsidR="00EF197F" w:rsidRPr="006D3B9D">
        <w:rPr>
          <w:sz w:val="25"/>
          <w:szCs w:val="25"/>
        </w:rPr>
        <w:t>грошові кошти</w:t>
      </w:r>
      <w:r w:rsidR="00D667CF" w:rsidRPr="006D3B9D">
        <w:rPr>
          <w:sz w:val="25"/>
          <w:szCs w:val="25"/>
        </w:rPr>
        <w:t xml:space="preserve"> </w:t>
      </w:r>
      <w:r w:rsidRPr="006D3B9D">
        <w:rPr>
          <w:sz w:val="25"/>
          <w:szCs w:val="25"/>
        </w:rPr>
        <w:t xml:space="preserve">у розмірі </w:t>
      </w:r>
      <w:r w:rsidR="00D667CF" w:rsidRPr="006D3B9D">
        <w:rPr>
          <w:sz w:val="25"/>
          <w:szCs w:val="25"/>
        </w:rPr>
        <w:t>26</w:t>
      </w:r>
      <w:r w:rsidR="00EF197F" w:rsidRPr="006D3B9D">
        <w:rPr>
          <w:sz w:val="25"/>
          <w:szCs w:val="25"/>
        </w:rPr>
        <w:t> </w:t>
      </w:r>
      <w:r w:rsidR="00D667CF" w:rsidRPr="006D3B9D">
        <w:rPr>
          <w:sz w:val="25"/>
          <w:szCs w:val="25"/>
        </w:rPr>
        <w:t xml:space="preserve">463 грн </w:t>
      </w:r>
      <w:r w:rsidRPr="006D3B9D">
        <w:rPr>
          <w:sz w:val="25"/>
          <w:szCs w:val="25"/>
        </w:rPr>
        <w:t>з</w:t>
      </w:r>
      <w:r w:rsidR="00D667CF" w:rsidRPr="006D3B9D">
        <w:rPr>
          <w:sz w:val="25"/>
          <w:szCs w:val="25"/>
        </w:rPr>
        <w:t>азначен</w:t>
      </w:r>
      <w:r w:rsidR="005024CA" w:rsidRPr="006D3B9D">
        <w:rPr>
          <w:sz w:val="25"/>
          <w:szCs w:val="25"/>
        </w:rPr>
        <w:t>о</w:t>
      </w:r>
      <w:r w:rsidR="00D667CF" w:rsidRPr="006D3B9D">
        <w:rPr>
          <w:sz w:val="25"/>
          <w:szCs w:val="25"/>
        </w:rPr>
        <w:t xml:space="preserve"> </w:t>
      </w:r>
      <w:r w:rsidRPr="006D3B9D">
        <w:rPr>
          <w:sz w:val="25"/>
          <w:szCs w:val="25"/>
        </w:rPr>
        <w:t>кандидаткою</w:t>
      </w:r>
      <w:r w:rsidR="00D667CF" w:rsidRPr="006D3B9D">
        <w:rPr>
          <w:sz w:val="25"/>
          <w:szCs w:val="25"/>
        </w:rPr>
        <w:t xml:space="preserve"> </w:t>
      </w:r>
      <w:r w:rsidR="005024CA" w:rsidRPr="006D3B9D">
        <w:rPr>
          <w:sz w:val="25"/>
          <w:szCs w:val="25"/>
        </w:rPr>
        <w:t>в</w:t>
      </w:r>
      <w:r w:rsidR="00D667CF" w:rsidRPr="006D3B9D">
        <w:rPr>
          <w:sz w:val="25"/>
          <w:szCs w:val="25"/>
        </w:rPr>
        <w:t xml:space="preserve"> </w:t>
      </w:r>
      <w:r w:rsidRPr="006D3B9D">
        <w:rPr>
          <w:sz w:val="25"/>
          <w:szCs w:val="25"/>
        </w:rPr>
        <w:t>декларації</w:t>
      </w:r>
      <w:r w:rsidR="00D667CF" w:rsidRPr="006D3B9D">
        <w:rPr>
          <w:sz w:val="25"/>
          <w:szCs w:val="25"/>
        </w:rPr>
        <w:t xml:space="preserve"> як сум</w:t>
      </w:r>
      <w:r w:rsidR="005024CA" w:rsidRPr="006D3B9D">
        <w:rPr>
          <w:sz w:val="25"/>
          <w:szCs w:val="25"/>
        </w:rPr>
        <w:t>у</w:t>
      </w:r>
      <w:r w:rsidR="00D667CF" w:rsidRPr="006D3B9D">
        <w:rPr>
          <w:sz w:val="25"/>
          <w:szCs w:val="25"/>
        </w:rPr>
        <w:t xml:space="preserve"> отриманого доходу.</w:t>
      </w:r>
    </w:p>
    <w:p w14:paraId="712359EB" w14:textId="3E4E889B" w:rsidR="00994739" w:rsidRPr="006D3B9D" w:rsidRDefault="00BB4E54" w:rsidP="00BB4E54">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6D3B9D">
        <w:rPr>
          <w:sz w:val="25"/>
          <w:szCs w:val="25"/>
        </w:rPr>
        <w:t>К</w:t>
      </w:r>
      <w:r w:rsidR="005024CA" w:rsidRPr="006D3B9D">
        <w:rPr>
          <w:sz w:val="25"/>
          <w:szCs w:val="25"/>
        </w:rPr>
        <w:t>осогор</w:t>
      </w:r>
      <w:proofErr w:type="spellEnd"/>
      <w:r w:rsidR="005024CA" w:rsidRPr="006D3B9D">
        <w:rPr>
          <w:sz w:val="25"/>
          <w:szCs w:val="25"/>
        </w:rPr>
        <w:t xml:space="preserve"> О.М.</w:t>
      </w:r>
      <w:r w:rsidRPr="006D3B9D">
        <w:rPr>
          <w:sz w:val="25"/>
          <w:szCs w:val="25"/>
        </w:rPr>
        <w:t xml:space="preserve"> зауважила, що </w:t>
      </w:r>
      <w:r w:rsidR="00EF197F" w:rsidRPr="006D3B9D">
        <w:rPr>
          <w:sz w:val="25"/>
          <w:szCs w:val="25"/>
        </w:rPr>
        <w:t>вона не мала</w:t>
      </w:r>
      <w:r w:rsidR="00D667CF" w:rsidRPr="006D3B9D">
        <w:rPr>
          <w:sz w:val="25"/>
          <w:szCs w:val="25"/>
        </w:rPr>
        <w:t xml:space="preserve"> умислу приховати дохід </w:t>
      </w:r>
      <w:proofErr w:type="spellStart"/>
      <w:r w:rsidR="00D667CF" w:rsidRPr="006D3B9D">
        <w:rPr>
          <w:sz w:val="25"/>
          <w:szCs w:val="25"/>
        </w:rPr>
        <w:t>a</w:t>
      </w:r>
      <w:r w:rsidR="005024CA" w:rsidRPr="006D3B9D">
        <w:rPr>
          <w:sz w:val="25"/>
          <w:szCs w:val="25"/>
        </w:rPr>
        <w:t>б</w:t>
      </w:r>
      <w:r w:rsidR="00D667CF" w:rsidRPr="006D3B9D">
        <w:rPr>
          <w:sz w:val="25"/>
          <w:szCs w:val="25"/>
        </w:rPr>
        <w:t>o</w:t>
      </w:r>
      <w:proofErr w:type="spellEnd"/>
      <w:r w:rsidR="00D667CF" w:rsidRPr="006D3B9D">
        <w:rPr>
          <w:sz w:val="25"/>
          <w:szCs w:val="25"/>
        </w:rPr>
        <w:t xml:space="preserve"> зменшити його розмір, </w:t>
      </w:r>
      <w:r w:rsidR="00EF197F" w:rsidRPr="006D3B9D">
        <w:rPr>
          <w:sz w:val="25"/>
          <w:szCs w:val="25"/>
        </w:rPr>
        <w:t>вказана помилка обумовлена тим</w:t>
      </w:r>
      <w:r w:rsidR="00D667CF" w:rsidRPr="006D3B9D">
        <w:rPr>
          <w:sz w:val="25"/>
          <w:szCs w:val="25"/>
        </w:rPr>
        <w:t xml:space="preserve">, що </w:t>
      </w:r>
      <w:r w:rsidRPr="006D3B9D">
        <w:rPr>
          <w:sz w:val="25"/>
          <w:szCs w:val="25"/>
        </w:rPr>
        <w:t>вона</w:t>
      </w:r>
      <w:r w:rsidR="00D667CF" w:rsidRPr="006D3B9D">
        <w:rPr>
          <w:sz w:val="25"/>
          <w:szCs w:val="25"/>
        </w:rPr>
        <w:t xml:space="preserve"> керувалася </w:t>
      </w:r>
      <w:r w:rsidRPr="006D3B9D">
        <w:rPr>
          <w:sz w:val="25"/>
          <w:szCs w:val="25"/>
        </w:rPr>
        <w:t>інформацією</w:t>
      </w:r>
      <w:r w:rsidR="00D667CF" w:rsidRPr="006D3B9D">
        <w:rPr>
          <w:sz w:val="25"/>
          <w:szCs w:val="25"/>
        </w:rPr>
        <w:t xml:space="preserve"> з офіційного банківського джерела, яка не містила</w:t>
      </w:r>
      <w:r w:rsidRPr="006D3B9D">
        <w:rPr>
          <w:sz w:val="25"/>
          <w:szCs w:val="25"/>
        </w:rPr>
        <w:t xml:space="preserve"> </w:t>
      </w:r>
      <w:r w:rsidR="00D667CF" w:rsidRPr="006D3B9D">
        <w:rPr>
          <w:sz w:val="25"/>
          <w:szCs w:val="25"/>
        </w:rPr>
        <w:t>розшифрування оподаткування.</w:t>
      </w:r>
    </w:p>
    <w:p w14:paraId="41201DA0" w14:textId="3645A9B4" w:rsidR="000D4E87" w:rsidRPr="006D3B9D" w:rsidRDefault="000D4E87" w:rsidP="00A36F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Стосовно доходу чоловіка кандидатки у виді заробітної плати у 2022 році</w:t>
      </w:r>
      <w:r w:rsidR="00EF197F" w:rsidRPr="006D3B9D">
        <w:rPr>
          <w:sz w:val="25"/>
          <w:szCs w:val="25"/>
        </w:rPr>
        <w:t xml:space="preserve"> Комісія встановила таке.</w:t>
      </w:r>
    </w:p>
    <w:p w14:paraId="3B2BE074" w14:textId="26B5ACFC" w:rsidR="00994739" w:rsidRPr="006D3B9D" w:rsidRDefault="003C1061" w:rsidP="00A36FFB">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У</w:t>
      </w:r>
      <w:r w:rsidR="00994739" w:rsidRPr="006D3B9D">
        <w:rPr>
          <w:sz w:val="25"/>
          <w:szCs w:val="25"/>
        </w:rPr>
        <w:t xml:space="preserve"> декларації за 2022 рік кандидатка зазначила заробітну плату чоловіка </w:t>
      </w:r>
      <w:r w:rsidR="00AF1CB6" w:rsidRPr="006D3B9D">
        <w:rPr>
          <w:sz w:val="25"/>
          <w:szCs w:val="25"/>
        </w:rPr>
        <w:t>в</w:t>
      </w:r>
      <w:r w:rsidR="00994739" w:rsidRPr="006D3B9D">
        <w:rPr>
          <w:sz w:val="25"/>
          <w:szCs w:val="25"/>
        </w:rPr>
        <w:t xml:space="preserve"> розмірі 80</w:t>
      </w:r>
      <w:r w:rsidR="00BB4E54" w:rsidRPr="006D3B9D">
        <w:rPr>
          <w:sz w:val="25"/>
          <w:szCs w:val="25"/>
        </w:rPr>
        <w:t> </w:t>
      </w:r>
      <w:r w:rsidR="00994739" w:rsidRPr="006D3B9D">
        <w:rPr>
          <w:sz w:val="25"/>
          <w:szCs w:val="25"/>
        </w:rPr>
        <w:t xml:space="preserve">400 грн, однак відповідно до відомостей з ДРФО у 2022 році </w:t>
      </w:r>
      <w:r w:rsidR="00957D5B">
        <w:rPr>
          <w:sz w:val="25"/>
          <w:szCs w:val="25"/>
        </w:rPr>
        <w:t>ОСОБА_3</w:t>
      </w:r>
      <w:r w:rsidR="00994739" w:rsidRPr="006D3B9D">
        <w:rPr>
          <w:sz w:val="25"/>
          <w:szCs w:val="25"/>
        </w:rPr>
        <w:t xml:space="preserve"> отримав заробітну плату </w:t>
      </w:r>
      <w:r w:rsidR="00EF197F" w:rsidRPr="006D3B9D">
        <w:rPr>
          <w:sz w:val="25"/>
          <w:szCs w:val="25"/>
        </w:rPr>
        <w:t xml:space="preserve">у розмірі </w:t>
      </w:r>
      <w:r w:rsidR="00994739" w:rsidRPr="006D3B9D">
        <w:rPr>
          <w:sz w:val="25"/>
          <w:szCs w:val="25"/>
        </w:rPr>
        <w:t>58</w:t>
      </w:r>
      <w:r w:rsidR="00EF197F" w:rsidRPr="006D3B9D">
        <w:rPr>
          <w:sz w:val="25"/>
          <w:szCs w:val="25"/>
        </w:rPr>
        <w:t> </w:t>
      </w:r>
      <w:r w:rsidR="00994739" w:rsidRPr="006D3B9D">
        <w:rPr>
          <w:sz w:val="25"/>
          <w:szCs w:val="25"/>
        </w:rPr>
        <w:t>811,2</w:t>
      </w:r>
      <w:r w:rsidR="00EF197F" w:rsidRPr="006D3B9D">
        <w:rPr>
          <w:sz w:val="25"/>
          <w:szCs w:val="25"/>
        </w:rPr>
        <w:t> </w:t>
      </w:r>
      <w:r w:rsidR="00994739" w:rsidRPr="006D3B9D">
        <w:rPr>
          <w:sz w:val="25"/>
          <w:szCs w:val="25"/>
        </w:rPr>
        <w:t>гривень.</w:t>
      </w:r>
    </w:p>
    <w:p w14:paraId="40FBE918" w14:textId="4EE13955" w:rsidR="00BB4E54" w:rsidRPr="006D3B9D" w:rsidRDefault="00994739" w:rsidP="00BB4E54">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Комісія встановила, що згідно </w:t>
      </w:r>
      <w:r w:rsidR="00AF1CB6" w:rsidRPr="006D3B9D">
        <w:rPr>
          <w:sz w:val="25"/>
          <w:szCs w:val="25"/>
        </w:rPr>
        <w:t xml:space="preserve">з </w:t>
      </w:r>
      <w:r w:rsidRPr="006D3B9D">
        <w:rPr>
          <w:sz w:val="25"/>
          <w:szCs w:val="25"/>
        </w:rPr>
        <w:t>відомост</w:t>
      </w:r>
      <w:r w:rsidR="00AF1CB6" w:rsidRPr="006D3B9D">
        <w:rPr>
          <w:sz w:val="25"/>
          <w:szCs w:val="25"/>
        </w:rPr>
        <w:t>ями</w:t>
      </w:r>
      <w:r w:rsidRPr="006D3B9D">
        <w:rPr>
          <w:sz w:val="25"/>
          <w:szCs w:val="25"/>
        </w:rPr>
        <w:t xml:space="preserve"> з ДРФО дохід чоловіка кандидатки у виді зарплати у 2022 році </w:t>
      </w:r>
      <w:r w:rsidR="00AF1CB6" w:rsidRPr="006D3B9D">
        <w:rPr>
          <w:sz w:val="25"/>
          <w:szCs w:val="25"/>
        </w:rPr>
        <w:t xml:space="preserve">становив </w:t>
      </w:r>
      <w:r w:rsidRPr="006D3B9D">
        <w:rPr>
          <w:sz w:val="25"/>
          <w:szCs w:val="25"/>
        </w:rPr>
        <w:t>52</w:t>
      </w:r>
      <w:r w:rsidR="00BB4E54" w:rsidRPr="006D3B9D">
        <w:rPr>
          <w:sz w:val="25"/>
          <w:szCs w:val="25"/>
        </w:rPr>
        <w:t> </w:t>
      </w:r>
      <w:r w:rsidRPr="006D3B9D">
        <w:rPr>
          <w:sz w:val="25"/>
          <w:szCs w:val="25"/>
        </w:rPr>
        <w:t>600 грн, тому відхиляє розрахунки ГРД в цій частині.</w:t>
      </w:r>
    </w:p>
    <w:p w14:paraId="565CA4AC" w14:textId="47BFB5D6" w:rsidR="009959D2" w:rsidRPr="006D3B9D" w:rsidRDefault="00994739" w:rsidP="009959D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Водночас </w:t>
      </w:r>
      <w:r w:rsidR="00BB4E54" w:rsidRPr="006D3B9D">
        <w:rPr>
          <w:sz w:val="25"/>
          <w:szCs w:val="25"/>
        </w:rPr>
        <w:t>кандидатка у своїх письмових поясненнях зазначила, що п</w:t>
      </w:r>
      <w:r w:rsidR="00D667CF" w:rsidRPr="006D3B9D">
        <w:rPr>
          <w:sz w:val="25"/>
          <w:szCs w:val="25"/>
        </w:rPr>
        <w:t xml:space="preserve">ри заповненні декларації керувалася даними, </w:t>
      </w:r>
      <w:r w:rsidR="00E560C0" w:rsidRPr="006D3B9D">
        <w:rPr>
          <w:sz w:val="25"/>
          <w:szCs w:val="25"/>
        </w:rPr>
        <w:t>вказаними</w:t>
      </w:r>
      <w:r w:rsidR="00D667CF" w:rsidRPr="006D3B9D">
        <w:rPr>
          <w:sz w:val="25"/>
          <w:szCs w:val="25"/>
        </w:rPr>
        <w:t xml:space="preserve"> </w:t>
      </w:r>
      <w:r w:rsidR="00E560C0" w:rsidRPr="006D3B9D">
        <w:rPr>
          <w:sz w:val="25"/>
          <w:szCs w:val="25"/>
        </w:rPr>
        <w:t>в</w:t>
      </w:r>
      <w:r w:rsidR="00D667CF" w:rsidRPr="006D3B9D">
        <w:rPr>
          <w:sz w:val="25"/>
          <w:szCs w:val="25"/>
        </w:rPr>
        <w:t xml:space="preserve"> довідці від 06</w:t>
      </w:r>
      <w:r w:rsidR="00BB4E54" w:rsidRPr="006D3B9D">
        <w:rPr>
          <w:sz w:val="25"/>
          <w:szCs w:val="25"/>
        </w:rPr>
        <w:t xml:space="preserve"> жовтня </w:t>
      </w:r>
      <w:r w:rsidR="00D667CF" w:rsidRPr="006D3B9D">
        <w:rPr>
          <w:sz w:val="25"/>
          <w:szCs w:val="25"/>
        </w:rPr>
        <w:t>2023</w:t>
      </w:r>
      <w:r w:rsidR="00BB4E54" w:rsidRPr="006D3B9D">
        <w:rPr>
          <w:sz w:val="25"/>
          <w:szCs w:val="25"/>
        </w:rPr>
        <w:t xml:space="preserve"> року</w:t>
      </w:r>
      <w:r w:rsidR="00D667CF" w:rsidRPr="006D3B9D">
        <w:rPr>
          <w:sz w:val="25"/>
          <w:szCs w:val="25"/>
        </w:rPr>
        <w:t>,</w:t>
      </w:r>
      <w:r w:rsidR="00BB4E54" w:rsidRPr="006D3B9D">
        <w:rPr>
          <w:sz w:val="25"/>
          <w:szCs w:val="25"/>
        </w:rPr>
        <w:t xml:space="preserve"> </w:t>
      </w:r>
      <w:r w:rsidR="00D667CF" w:rsidRPr="006D3B9D">
        <w:rPr>
          <w:sz w:val="25"/>
          <w:szCs w:val="25"/>
        </w:rPr>
        <w:t>видан</w:t>
      </w:r>
      <w:r w:rsidR="00E560C0" w:rsidRPr="006D3B9D">
        <w:rPr>
          <w:sz w:val="25"/>
          <w:szCs w:val="25"/>
        </w:rPr>
        <w:t>ій</w:t>
      </w:r>
      <w:r w:rsidR="00D667CF" w:rsidRPr="006D3B9D">
        <w:rPr>
          <w:sz w:val="25"/>
          <w:szCs w:val="25"/>
        </w:rPr>
        <w:t xml:space="preserve"> роботодавцем </w:t>
      </w:r>
      <w:r w:rsidR="00BB4E54" w:rsidRPr="006D3B9D">
        <w:rPr>
          <w:sz w:val="25"/>
          <w:szCs w:val="25"/>
        </w:rPr>
        <w:t xml:space="preserve">її </w:t>
      </w:r>
      <w:r w:rsidR="00D667CF" w:rsidRPr="006D3B9D">
        <w:rPr>
          <w:sz w:val="25"/>
          <w:szCs w:val="25"/>
        </w:rPr>
        <w:t xml:space="preserve">чоловіка. </w:t>
      </w:r>
      <w:r w:rsidR="00E560C0" w:rsidRPr="006D3B9D">
        <w:rPr>
          <w:sz w:val="25"/>
          <w:szCs w:val="25"/>
        </w:rPr>
        <w:t>Вона</w:t>
      </w:r>
      <w:r w:rsidR="00D667CF" w:rsidRPr="006D3B9D">
        <w:rPr>
          <w:sz w:val="25"/>
          <w:szCs w:val="25"/>
        </w:rPr>
        <w:t xml:space="preserve"> не мала підстав</w:t>
      </w:r>
      <w:r w:rsidR="00BB4E54" w:rsidRPr="006D3B9D">
        <w:rPr>
          <w:sz w:val="25"/>
          <w:szCs w:val="25"/>
        </w:rPr>
        <w:t xml:space="preserve"> </w:t>
      </w:r>
      <w:r w:rsidR="00D667CF" w:rsidRPr="006D3B9D">
        <w:rPr>
          <w:sz w:val="25"/>
          <w:szCs w:val="25"/>
        </w:rPr>
        <w:t xml:space="preserve">сумніватися </w:t>
      </w:r>
      <w:r w:rsidR="00E560C0" w:rsidRPr="006D3B9D">
        <w:rPr>
          <w:sz w:val="25"/>
          <w:szCs w:val="25"/>
        </w:rPr>
        <w:t>в</w:t>
      </w:r>
      <w:r w:rsidR="00D667CF" w:rsidRPr="006D3B9D">
        <w:rPr>
          <w:sz w:val="25"/>
          <w:szCs w:val="25"/>
        </w:rPr>
        <w:t xml:space="preserve"> достовірності викладених у </w:t>
      </w:r>
      <w:r w:rsidR="00E560C0" w:rsidRPr="006D3B9D">
        <w:rPr>
          <w:sz w:val="25"/>
          <w:szCs w:val="25"/>
        </w:rPr>
        <w:t>цій довідці</w:t>
      </w:r>
      <w:r w:rsidR="00D667CF" w:rsidRPr="006D3B9D">
        <w:rPr>
          <w:sz w:val="25"/>
          <w:szCs w:val="25"/>
        </w:rPr>
        <w:t xml:space="preserve"> </w:t>
      </w:r>
      <w:r w:rsidR="00EF197F" w:rsidRPr="006D3B9D">
        <w:rPr>
          <w:sz w:val="25"/>
          <w:szCs w:val="25"/>
        </w:rPr>
        <w:t>інформації</w:t>
      </w:r>
      <w:r w:rsidR="00D667CF" w:rsidRPr="006D3B9D">
        <w:rPr>
          <w:sz w:val="25"/>
          <w:szCs w:val="25"/>
        </w:rPr>
        <w:t>.</w:t>
      </w:r>
    </w:p>
    <w:p w14:paraId="6ADC2E69" w14:textId="614077B4" w:rsidR="009959D2" w:rsidRPr="006D3B9D" w:rsidRDefault="009959D2" w:rsidP="009959D2">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sidRPr="006D3B9D">
        <w:rPr>
          <w:sz w:val="25"/>
          <w:szCs w:val="25"/>
        </w:rPr>
        <w:t>Оцінючи</w:t>
      </w:r>
      <w:proofErr w:type="spellEnd"/>
      <w:r w:rsidRPr="006D3B9D">
        <w:rPr>
          <w:sz w:val="25"/>
          <w:szCs w:val="25"/>
        </w:rPr>
        <w:t xml:space="preserve"> наведені вище пояснення, Комісія вважає, що </w:t>
      </w:r>
      <w:proofErr w:type="spellStart"/>
      <w:r w:rsidRPr="006D3B9D">
        <w:rPr>
          <w:sz w:val="25"/>
          <w:szCs w:val="25"/>
        </w:rPr>
        <w:t>Косогор</w:t>
      </w:r>
      <w:proofErr w:type="spellEnd"/>
      <w:r w:rsidRPr="006D3B9D">
        <w:rPr>
          <w:sz w:val="25"/>
          <w:szCs w:val="25"/>
        </w:rPr>
        <w:t xml:space="preserve"> О.М. під час внесення відомостей до декларацій за 2016, 2018, 2022 роки продемонструвала недостаню </w:t>
      </w:r>
      <w:r w:rsidRPr="006D3B9D">
        <w:rPr>
          <w:sz w:val="25"/>
          <w:szCs w:val="25"/>
        </w:rPr>
        <w:lastRenderedPageBreak/>
        <w:t>сумлінність. 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відповідальність з її боку при виконанні обов’язку декларування.</w:t>
      </w:r>
    </w:p>
    <w:p w14:paraId="013D2A8F" w14:textId="19F694C0" w:rsidR="004A09B4" w:rsidRPr="006D3B9D" w:rsidRDefault="004A09B4" w:rsidP="009959D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до пункту 19 Єдиних показників</w:t>
      </w:r>
      <w:r w:rsidR="00E560C0" w:rsidRPr="006D3B9D">
        <w:rPr>
          <w:sz w:val="25"/>
          <w:szCs w:val="25"/>
        </w:rPr>
        <w:t xml:space="preserve"> для оцінки доброчесності та професійної етики суддів і кандидатів на посаду судді (далі — Єдині показники),</w:t>
      </w:r>
      <w:r w:rsidRPr="006D3B9D">
        <w:rPr>
          <w:sz w:val="25"/>
          <w:szCs w:val="25"/>
        </w:rPr>
        <w:t xml:space="preserve"> сумлінність – старанне, ретельне та відповідальне виконання суддею (кандидатом на посаду судді) своїх обов’язків.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14:paraId="6FF5CE78" w14:textId="58989DE6" w:rsidR="004A09B4" w:rsidRPr="006D3B9D" w:rsidRDefault="004A09B4" w:rsidP="009959D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Підсумовуючи викладене вище, Комісія вважає, що кандидатом було допущено добросовісні помилки під час декларування, які не можуть вважатися обставиною, що свідчить про «істотну невідповідність» </w:t>
      </w:r>
      <w:r w:rsidR="00E141CF" w:rsidRPr="006D3B9D">
        <w:rPr>
          <w:sz w:val="25"/>
          <w:szCs w:val="25"/>
        </w:rPr>
        <w:t xml:space="preserve">чи «суттєву невідповідність» </w:t>
      </w:r>
      <w:r w:rsidRPr="006D3B9D">
        <w:rPr>
          <w:sz w:val="25"/>
          <w:szCs w:val="25"/>
        </w:rPr>
        <w:t>показнику «сумлінність».</w:t>
      </w:r>
    </w:p>
    <w:p w14:paraId="3D687661" w14:textId="5237285F" w:rsidR="009959D2" w:rsidRPr="006D3B9D" w:rsidRDefault="00E141CF" w:rsidP="009959D2">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Однак с</w:t>
      </w:r>
      <w:r w:rsidR="009959D2" w:rsidRPr="006D3B9D">
        <w:rPr>
          <w:sz w:val="25"/>
          <w:szCs w:val="25"/>
        </w:rPr>
        <w:t>аме сукупніст</w:t>
      </w:r>
      <w:r w:rsidR="00E560C0" w:rsidRPr="006D3B9D">
        <w:rPr>
          <w:sz w:val="25"/>
          <w:szCs w:val="25"/>
        </w:rPr>
        <w:t>ь</w:t>
      </w:r>
      <w:r w:rsidR="009959D2" w:rsidRPr="006D3B9D">
        <w:rPr>
          <w:sz w:val="25"/>
          <w:szCs w:val="25"/>
        </w:rPr>
        <w:t xml:space="preserve"> </w:t>
      </w:r>
      <w:r w:rsidRPr="006D3B9D">
        <w:rPr>
          <w:sz w:val="25"/>
          <w:szCs w:val="25"/>
        </w:rPr>
        <w:t xml:space="preserve">несуттєвих </w:t>
      </w:r>
      <w:r w:rsidR="009959D2" w:rsidRPr="006D3B9D">
        <w:rPr>
          <w:sz w:val="25"/>
          <w:szCs w:val="25"/>
        </w:rPr>
        <w:t>помилок кандидатк</w:t>
      </w:r>
      <w:r w:rsidR="00E560C0" w:rsidRPr="006D3B9D">
        <w:rPr>
          <w:sz w:val="25"/>
          <w:szCs w:val="25"/>
        </w:rPr>
        <w:t>и</w:t>
      </w:r>
      <w:r w:rsidR="009959D2" w:rsidRPr="006D3B9D">
        <w:rPr>
          <w:sz w:val="25"/>
          <w:szCs w:val="25"/>
        </w:rPr>
        <w:t xml:space="preserve"> демонструє системність у неповному або неточному декларуванні інформації, а тому Комісі</w:t>
      </w:r>
      <w:r w:rsidR="00E560C0" w:rsidRPr="006D3B9D">
        <w:rPr>
          <w:sz w:val="25"/>
          <w:szCs w:val="25"/>
        </w:rPr>
        <w:t>єю</w:t>
      </w:r>
      <w:r w:rsidR="009959D2" w:rsidRPr="006D3B9D">
        <w:rPr>
          <w:sz w:val="25"/>
          <w:szCs w:val="25"/>
        </w:rPr>
        <w:t xml:space="preserve"> має бути розглянуто питання про зменшення кільк</w:t>
      </w:r>
      <w:r w:rsidR="00E560C0" w:rsidRPr="006D3B9D">
        <w:rPr>
          <w:sz w:val="25"/>
          <w:szCs w:val="25"/>
        </w:rPr>
        <w:t>о</w:t>
      </w:r>
      <w:r w:rsidR="009959D2" w:rsidRPr="006D3B9D">
        <w:rPr>
          <w:sz w:val="25"/>
          <w:szCs w:val="25"/>
        </w:rPr>
        <w:t>сті балів кандидата за показником «сумлінність».</w:t>
      </w:r>
    </w:p>
    <w:p w14:paraId="7C0AB40E" w14:textId="77777777" w:rsidR="00EF197F" w:rsidRPr="006D3B9D" w:rsidRDefault="00994739"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Стосовно</w:t>
      </w:r>
      <w:r w:rsidR="000D4E87" w:rsidRPr="006D3B9D">
        <w:rPr>
          <w:sz w:val="25"/>
          <w:szCs w:val="25"/>
        </w:rPr>
        <w:t xml:space="preserve"> неподання </w:t>
      </w:r>
      <w:r w:rsidRPr="006D3B9D">
        <w:rPr>
          <w:sz w:val="25"/>
          <w:szCs w:val="25"/>
        </w:rPr>
        <w:t>кандидаткою</w:t>
      </w:r>
      <w:r w:rsidR="000D4E87" w:rsidRPr="006D3B9D">
        <w:rPr>
          <w:sz w:val="25"/>
          <w:szCs w:val="25"/>
        </w:rPr>
        <w:t xml:space="preserve"> </w:t>
      </w:r>
      <w:r w:rsidRPr="006D3B9D">
        <w:rPr>
          <w:sz w:val="25"/>
          <w:szCs w:val="25"/>
        </w:rPr>
        <w:t xml:space="preserve">декларації </w:t>
      </w:r>
      <w:r w:rsidR="000D4E87" w:rsidRPr="006D3B9D">
        <w:rPr>
          <w:sz w:val="25"/>
          <w:szCs w:val="25"/>
        </w:rPr>
        <w:t>за 2023 рік Комісія встановила таке.</w:t>
      </w:r>
    </w:p>
    <w:p w14:paraId="667285B7" w14:textId="2914A0E6" w:rsidR="00EF197F" w:rsidRPr="006D3B9D" w:rsidRDefault="00EF197F"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Під час співбесіди кандидатка повідомила, що </w:t>
      </w:r>
      <w:proofErr w:type="spellStart"/>
      <w:r w:rsidRPr="006D3B9D">
        <w:rPr>
          <w:sz w:val="25"/>
          <w:szCs w:val="25"/>
        </w:rPr>
        <w:t>забула</w:t>
      </w:r>
      <w:proofErr w:type="spellEnd"/>
      <w:r w:rsidRPr="006D3B9D">
        <w:rPr>
          <w:sz w:val="25"/>
          <w:szCs w:val="25"/>
        </w:rPr>
        <w:t xml:space="preserve"> подати декларацію за 2023 рік.</w:t>
      </w:r>
    </w:p>
    <w:p w14:paraId="0B40E6A2" w14:textId="4DA98E74" w:rsidR="002204C1" w:rsidRPr="006D3B9D" w:rsidRDefault="00994739"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Відповідно Умов проведення конкурсу на зайняття 532 вакантних посад суддів в апеляційних судах</w:t>
      </w:r>
      <w:r w:rsidR="00E560C0" w:rsidRPr="006D3B9D">
        <w:rPr>
          <w:sz w:val="25"/>
          <w:szCs w:val="25"/>
        </w:rPr>
        <w:t>, затверджених</w:t>
      </w:r>
      <w:r w:rsidRPr="006D3B9D">
        <w:rPr>
          <w:sz w:val="25"/>
          <w:szCs w:val="25"/>
        </w:rPr>
        <w:t xml:space="preserve"> рішення</w:t>
      </w:r>
      <w:r w:rsidR="00E560C0" w:rsidRPr="006D3B9D">
        <w:rPr>
          <w:sz w:val="25"/>
          <w:szCs w:val="25"/>
        </w:rPr>
        <w:t>м</w:t>
      </w:r>
      <w:r w:rsidRPr="006D3B9D">
        <w:rPr>
          <w:sz w:val="25"/>
          <w:szCs w:val="25"/>
        </w:rPr>
        <w:t xml:space="preserve"> Комісії від 14 вересня 2023 року №</w:t>
      </w:r>
      <w:r w:rsidR="00E560C0" w:rsidRPr="006D3B9D">
        <w:rPr>
          <w:sz w:val="25"/>
          <w:szCs w:val="25"/>
        </w:rPr>
        <w:t> </w:t>
      </w:r>
      <w:r w:rsidRPr="006D3B9D">
        <w:rPr>
          <w:sz w:val="25"/>
          <w:szCs w:val="25"/>
        </w:rPr>
        <w:t>94/зп-23</w:t>
      </w:r>
      <w:r w:rsidR="00E560C0" w:rsidRPr="006D3B9D">
        <w:rPr>
          <w:sz w:val="25"/>
          <w:szCs w:val="25"/>
        </w:rPr>
        <w:t>,</w:t>
      </w:r>
      <w:r w:rsidRPr="006D3B9D">
        <w:rPr>
          <w:sz w:val="25"/>
          <w:szCs w:val="25"/>
        </w:rPr>
        <w:t xml:space="preserve"> особа, яка бере участь у </w:t>
      </w:r>
      <w:r w:rsidR="00E560C0" w:rsidRPr="006D3B9D">
        <w:rPr>
          <w:sz w:val="25"/>
          <w:szCs w:val="25"/>
        </w:rPr>
        <w:t>к</w:t>
      </w:r>
      <w:r w:rsidRPr="006D3B9D">
        <w:rPr>
          <w:sz w:val="25"/>
          <w:szCs w:val="25"/>
        </w:rPr>
        <w:t>онкурсі та не має обов’язку щорічно подавати декларацію особи, уповноваженої на виконання функцій держави або місцевого самоврядування, зобов’язана подавати таку декларацію як кандидат на посаду судді щорічно до 01 квітня.</w:t>
      </w:r>
    </w:p>
    <w:p w14:paraId="3B87947C" w14:textId="3A417937" w:rsidR="00E141CF" w:rsidRPr="006D3B9D" w:rsidRDefault="00E560C0"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О</w:t>
      </w:r>
      <w:r w:rsidR="00E141CF" w:rsidRPr="006D3B9D">
        <w:rPr>
          <w:sz w:val="25"/>
          <w:szCs w:val="25"/>
        </w:rPr>
        <w:t xml:space="preserve">бов’язок щорічно подавати декларацію кандидата на посаду судді має на меті забезпечення відкритості й прозорості процедури добору, а також запобігання будь-яким сумнівам щодо фінансової доброчесності кандидата. Неподання такої декларації у встановлений строк, навіть </w:t>
      </w:r>
      <w:r w:rsidRPr="006D3B9D">
        <w:rPr>
          <w:sz w:val="25"/>
          <w:szCs w:val="25"/>
        </w:rPr>
        <w:t>і</w:t>
      </w:r>
      <w:r w:rsidR="00E141CF" w:rsidRPr="006D3B9D">
        <w:rPr>
          <w:sz w:val="25"/>
          <w:szCs w:val="25"/>
        </w:rPr>
        <w:t xml:space="preserve">з посиланням на забудькуватість, свідчить про недотримання належної уважності та дисципліни, які очікуються від особи, </w:t>
      </w:r>
      <w:r w:rsidRPr="006D3B9D">
        <w:rPr>
          <w:sz w:val="25"/>
          <w:szCs w:val="25"/>
        </w:rPr>
        <w:t>яка</w:t>
      </w:r>
      <w:r w:rsidR="00E141CF" w:rsidRPr="006D3B9D">
        <w:rPr>
          <w:sz w:val="25"/>
          <w:szCs w:val="25"/>
        </w:rPr>
        <w:t xml:space="preserve"> претендує на здійснення правосуддя.</w:t>
      </w:r>
    </w:p>
    <w:p w14:paraId="7DAA7954" w14:textId="0D94FAEC" w:rsidR="00E141CF" w:rsidRPr="006D3B9D" w:rsidRDefault="00E141CF"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Комісія </w:t>
      </w:r>
      <w:r w:rsidR="00470218" w:rsidRPr="006D3B9D">
        <w:rPr>
          <w:sz w:val="25"/>
          <w:szCs w:val="25"/>
        </w:rPr>
        <w:t>підкреслює</w:t>
      </w:r>
      <w:r w:rsidRPr="006D3B9D">
        <w:rPr>
          <w:sz w:val="25"/>
          <w:szCs w:val="25"/>
        </w:rPr>
        <w:t xml:space="preserve">, що обов’язок подати декларацію носить не лише формальний характер, а є складовою етичної поведінки судді та кандидата, зокрема, демонструє готовність дотримуватися встановлених правил і процедур, передбачених законом та </w:t>
      </w:r>
      <w:r w:rsidR="00E560C0" w:rsidRPr="006D3B9D">
        <w:rPr>
          <w:sz w:val="25"/>
          <w:szCs w:val="25"/>
        </w:rPr>
        <w:t xml:space="preserve">нормативно-правовими </w:t>
      </w:r>
      <w:r w:rsidRPr="006D3B9D">
        <w:rPr>
          <w:sz w:val="25"/>
          <w:szCs w:val="25"/>
        </w:rPr>
        <w:t>актами Комісії.</w:t>
      </w:r>
    </w:p>
    <w:p w14:paraId="2E96760F" w14:textId="5A32A587" w:rsidR="00E141CF" w:rsidRPr="006D3B9D" w:rsidRDefault="00E141CF" w:rsidP="00EF197F">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Посилання кандидатки на те, що неподання декларації зумовлене забуванням, не може бути розцінене як обставина, що знімає з неї відповідальність, оскільки своєчасність і повнота виконання таких обов’язків є базовим проявом сумлінності та професійної етики. </w:t>
      </w:r>
    </w:p>
    <w:p w14:paraId="4D921DCC" w14:textId="5FF89881" w:rsidR="00470218" w:rsidRPr="006D3B9D" w:rsidRDefault="00E560C0"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Водночас</w:t>
      </w:r>
      <w:r w:rsidR="00470218" w:rsidRPr="006D3B9D">
        <w:rPr>
          <w:sz w:val="25"/>
          <w:szCs w:val="25"/>
        </w:rPr>
        <w:t xml:space="preserve"> Комісія відхиляє доводи кандидат</w:t>
      </w:r>
      <w:r w:rsidR="006E6F8C" w:rsidRPr="006D3B9D">
        <w:rPr>
          <w:sz w:val="25"/>
          <w:szCs w:val="25"/>
        </w:rPr>
        <w:t>ки</w:t>
      </w:r>
      <w:r w:rsidR="00470218" w:rsidRPr="006D3B9D">
        <w:rPr>
          <w:sz w:val="25"/>
          <w:szCs w:val="25"/>
        </w:rPr>
        <w:t xml:space="preserve"> про </w:t>
      </w:r>
      <w:r w:rsidRPr="006D3B9D">
        <w:rPr>
          <w:sz w:val="25"/>
          <w:szCs w:val="25"/>
        </w:rPr>
        <w:t xml:space="preserve">те, що вона </w:t>
      </w:r>
      <w:r w:rsidR="00470218" w:rsidRPr="006D3B9D">
        <w:rPr>
          <w:sz w:val="25"/>
          <w:szCs w:val="25"/>
        </w:rPr>
        <w:t>«</w:t>
      </w:r>
      <w:proofErr w:type="spellStart"/>
      <w:r w:rsidR="00470218" w:rsidRPr="006D3B9D">
        <w:rPr>
          <w:sz w:val="25"/>
          <w:szCs w:val="25"/>
        </w:rPr>
        <w:t>забу</w:t>
      </w:r>
      <w:r w:rsidRPr="006D3B9D">
        <w:rPr>
          <w:sz w:val="25"/>
          <w:szCs w:val="25"/>
        </w:rPr>
        <w:t>ла</w:t>
      </w:r>
      <w:proofErr w:type="spellEnd"/>
      <w:r w:rsidR="00470218" w:rsidRPr="006D3B9D">
        <w:rPr>
          <w:sz w:val="25"/>
          <w:szCs w:val="25"/>
        </w:rPr>
        <w:t>» подати декларацію</w:t>
      </w:r>
      <w:r w:rsidRPr="006D3B9D">
        <w:rPr>
          <w:sz w:val="25"/>
          <w:szCs w:val="25"/>
        </w:rPr>
        <w:t>,</w:t>
      </w:r>
      <w:r w:rsidR="00470218" w:rsidRPr="006D3B9D">
        <w:rPr>
          <w:sz w:val="25"/>
          <w:szCs w:val="25"/>
        </w:rPr>
        <w:t xml:space="preserve"> з огляду на таке. </w:t>
      </w:r>
    </w:p>
    <w:p w14:paraId="061F899E" w14:textId="5021E893" w:rsidR="00D123D9" w:rsidRPr="006D3B9D" w:rsidRDefault="00D123D9"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lastRenderedPageBreak/>
        <w:t xml:space="preserve">Кандидатом </w:t>
      </w:r>
      <w:r w:rsidR="00B361EE" w:rsidRPr="006D3B9D">
        <w:rPr>
          <w:sz w:val="25"/>
          <w:szCs w:val="25"/>
        </w:rPr>
        <w:t xml:space="preserve">30 квітня </w:t>
      </w:r>
      <w:r w:rsidR="00C919E3" w:rsidRPr="006D3B9D">
        <w:rPr>
          <w:sz w:val="25"/>
          <w:szCs w:val="25"/>
        </w:rPr>
        <w:t xml:space="preserve">2024 року подано </w:t>
      </w:r>
      <w:r w:rsidR="006E6F8C" w:rsidRPr="006D3B9D">
        <w:rPr>
          <w:sz w:val="25"/>
          <w:szCs w:val="25"/>
        </w:rPr>
        <w:t>д</w:t>
      </w:r>
      <w:r w:rsidR="00C919E3" w:rsidRPr="006D3B9D">
        <w:rPr>
          <w:sz w:val="25"/>
          <w:szCs w:val="25"/>
        </w:rPr>
        <w:t xml:space="preserve">екларацію доброчесності кандидата на посаду судді за 2023 рік. </w:t>
      </w:r>
      <w:r w:rsidR="006E6F8C" w:rsidRPr="006D3B9D">
        <w:rPr>
          <w:sz w:val="25"/>
          <w:szCs w:val="25"/>
        </w:rPr>
        <w:t xml:space="preserve">У </w:t>
      </w:r>
      <w:r w:rsidR="00C919E3" w:rsidRPr="006D3B9D">
        <w:rPr>
          <w:sz w:val="25"/>
          <w:szCs w:val="25"/>
        </w:rPr>
        <w:t>твердженн</w:t>
      </w:r>
      <w:r w:rsidR="006E6F8C" w:rsidRPr="006D3B9D">
        <w:rPr>
          <w:sz w:val="25"/>
          <w:szCs w:val="25"/>
        </w:rPr>
        <w:t>і №</w:t>
      </w:r>
      <w:r w:rsidR="00C919E3" w:rsidRPr="006D3B9D">
        <w:rPr>
          <w:sz w:val="25"/>
          <w:szCs w:val="25"/>
        </w:rPr>
        <w:t xml:space="preserve"> 6 «Мною вчасно подано декларацію особи, уповноваженої на виконання функцій держави або місцевого самоврядування, в якій зазначено достовірні відомості» </w:t>
      </w:r>
      <w:proofErr w:type="spellStart"/>
      <w:r w:rsidR="00C919E3" w:rsidRPr="006D3B9D">
        <w:rPr>
          <w:sz w:val="25"/>
          <w:szCs w:val="25"/>
        </w:rPr>
        <w:t>Косогор</w:t>
      </w:r>
      <w:proofErr w:type="spellEnd"/>
      <w:r w:rsidR="00C919E3" w:rsidRPr="006D3B9D">
        <w:rPr>
          <w:sz w:val="25"/>
          <w:szCs w:val="25"/>
        </w:rPr>
        <w:t xml:space="preserve"> О.М. поставила відмітку «Підтверджу</w:t>
      </w:r>
      <w:r w:rsidR="006E6F8C" w:rsidRPr="006D3B9D">
        <w:rPr>
          <w:sz w:val="25"/>
          <w:szCs w:val="25"/>
        </w:rPr>
        <w:t>ю</w:t>
      </w:r>
      <w:r w:rsidR="00C919E3" w:rsidRPr="006D3B9D">
        <w:rPr>
          <w:sz w:val="25"/>
          <w:szCs w:val="25"/>
        </w:rPr>
        <w:t>»</w:t>
      </w:r>
      <w:r w:rsidR="006E6F8C" w:rsidRPr="006D3B9D">
        <w:rPr>
          <w:sz w:val="25"/>
          <w:szCs w:val="25"/>
        </w:rPr>
        <w:t>, що свідчить також про недостовірне декларування.</w:t>
      </w:r>
    </w:p>
    <w:p w14:paraId="1E51B998" w14:textId="356F2F2D" w:rsidR="002204C1" w:rsidRPr="006D3B9D" w:rsidRDefault="002204C1"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1447570B" w14:textId="77777777" w:rsidR="002204C1" w:rsidRPr="006D3B9D" w:rsidRDefault="002204C1"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Пунктом 18 розділу ІІІ Єдиних показників визначено, що чесність – це правдивість, принциповість, щирість судді (кандидата на посаду судді) у професійній діяльності та особистому житті.</w:t>
      </w:r>
    </w:p>
    <w:p w14:paraId="108EAE20" w14:textId="6DA2FCC3" w:rsidR="002204C1" w:rsidRPr="006D3B9D" w:rsidRDefault="002204C1" w:rsidP="002204C1">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63959EA9" w14:textId="07745A03" w:rsidR="00470218" w:rsidRPr="006D3B9D" w:rsidRDefault="00470218" w:rsidP="00470218">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 xml:space="preserve">У цьому конкретному випадку Комісія оцінює </w:t>
      </w:r>
      <w:r w:rsidR="00E560C0" w:rsidRPr="006D3B9D">
        <w:rPr>
          <w:sz w:val="25"/>
          <w:szCs w:val="25"/>
        </w:rPr>
        <w:t>вказані</w:t>
      </w:r>
      <w:r w:rsidRPr="006D3B9D">
        <w:rPr>
          <w:sz w:val="25"/>
          <w:szCs w:val="25"/>
        </w:rPr>
        <w:t xml:space="preserve"> обставини як «істотну невідповідність», яка має своїм наслідком виставлення 0 балів за показником «</w:t>
      </w:r>
      <w:r w:rsidR="00E560C0" w:rsidRPr="006D3B9D">
        <w:rPr>
          <w:sz w:val="25"/>
          <w:szCs w:val="25"/>
        </w:rPr>
        <w:t>ч</w:t>
      </w:r>
      <w:r w:rsidRPr="006D3B9D">
        <w:rPr>
          <w:sz w:val="25"/>
          <w:szCs w:val="25"/>
        </w:rPr>
        <w:t>есність», що є підставою для визнання її такою, що не підтвердила здатності здійснювати правосуддя у відповідному суді.</w:t>
      </w:r>
    </w:p>
    <w:p w14:paraId="166B22EE" w14:textId="7E81C8C3" w:rsidR="00BE541E" w:rsidRPr="006D3B9D" w:rsidRDefault="00470218" w:rsidP="00BE541E">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Зважаючи на викладене вище</w:t>
      </w:r>
      <w:r w:rsidR="00E560C0" w:rsidRPr="006D3B9D">
        <w:rPr>
          <w:sz w:val="25"/>
          <w:szCs w:val="25"/>
        </w:rPr>
        <w:t>,</w:t>
      </w:r>
      <w:r w:rsidR="00BE541E" w:rsidRPr="006D3B9D">
        <w:rPr>
          <w:sz w:val="25"/>
          <w:szCs w:val="25"/>
        </w:rPr>
        <w:t xml:space="preserve"> зниження балів не здійснюється ані за наявність сукупності несуттєвих порушень</w:t>
      </w:r>
      <w:r w:rsidR="00E560C0" w:rsidRPr="006D3B9D">
        <w:rPr>
          <w:sz w:val="25"/>
          <w:szCs w:val="25"/>
        </w:rPr>
        <w:t>, вказаних</w:t>
      </w:r>
      <w:r w:rsidR="00BE541E" w:rsidRPr="006D3B9D">
        <w:rPr>
          <w:sz w:val="25"/>
          <w:szCs w:val="25"/>
        </w:rPr>
        <w:t xml:space="preserve"> </w:t>
      </w:r>
      <w:r w:rsidR="00897D91" w:rsidRPr="006D3B9D">
        <w:rPr>
          <w:sz w:val="25"/>
          <w:szCs w:val="25"/>
        </w:rPr>
        <w:t>у пунктах</w:t>
      </w:r>
      <w:r w:rsidR="00517F98" w:rsidRPr="006D3B9D">
        <w:rPr>
          <w:sz w:val="25"/>
          <w:szCs w:val="25"/>
        </w:rPr>
        <w:t xml:space="preserve"> 10</w:t>
      </w:r>
      <w:r w:rsidR="006E6F8C" w:rsidRPr="006D3B9D">
        <w:rPr>
          <w:sz w:val="25"/>
          <w:szCs w:val="25"/>
        </w:rPr>
        <w:t>8</w:t>
      </w:r>
      <w:r w:rsidR="00E560C0" w:rsidRPr="006D3B9D">
        <w:rPr>
          <w:sz w:val="25"/>
          <w:szCs w:val="25"/>
        </w:rPr>
        <w:t>—</w:t>
      </w:r>
      <w:r w:rsidR="00517F98" w:rsidRPr="006D3B9D">
        <w:rPr>
          <w:sz w:val="25"/>
          <w:szCs w:val="25"/>
        </w:rPr>
        <w:t>126 цього рішення</w:t>
      </w:r>
      <w:r w:rsidR="00BE541E" w:rsidRPr="006D3B9D">
        <w:rPr>
          <w:sz w:val="25"/>
          <w:szCs w:val="25"/>
        </w:rPr>
        <w:t>, ані за встановлен</w:t>
      </w:r>
      <w:r w:rsidR="00897D91" w:rsidRPr="006D3B9D">
        <w:rPr>
          <w:sz w:val="25"/>
          <w:szCs w:val="25"/>
        </w:rPr>
        <w:t>і</w:t>
      </w:r>
      <w:r w:rsidR="00BE541E" w:rsidRPr="006D3B9D">
        <w:rPr>
          <w:sz w:val="25"/>
          <w:szCs w:val="25"/>
        </w:rPr>
        <w:t xml:space="preserve"> </w:t>
      </w:r>
      <w:r w:rsidR="00897D91" w:rsidRPr="006D3B9D">
        <w:rPr>
          <w:sz w:val="25"/>
          <w:szCs w:val="25"/>
        </w:rPr>
        <w:t xml:space="preserve">добросовісні помилки під час декларування </w:t>
      </w:r>
      <w:r w:rsidR="00517F98" w:rsidRPr="006D3B9D">
        <w:rPr>
          <w:sz w:val="25"/>
          <w:szCs w:val="25"/>
        </w:rPr>
        <w:t>у пунктах 176-19</w:t>
      </w:r>
      <w:r w:rsidR="006E6F8C" w:rsidRPr="006D3B9D">
        <w:rPr>
          <w:sz w:val="25"/>
          <w:szCs w:val="25"/>
        </w:rPr>
        <w:t>5</w:t>
      </w:r>
      <w:r w:rsidR="00517F98" w:rsidRPr="006D3B9D">
        <w:rPr>
          <w:sz w:val="25"/>
          <w:szCs w:val="25"/>
        </w:rPr>
        <w:t xml:space="preserve"> цього рішення</w:t>
      </w:r>
      <w:r w:rsidR="00BE541E" w:rsidRPr="006D3B9D">
        <w:rPr>
          <w:sz w:val="25"/>
          <w:szCs w:val="25"/>
        </w:rPr>
        <w:t>, оскільки</w:t>
      </w:r>
      <w:r w:rsidRPr="006D3B9D">
        <w:rPr>
          <w:sz w:val="25"/>
          <w:szCs w:val="25"/>
        </w:rPr>
        <w:t xml:space="preserve"> пункта</w:t>
      </w:r>
      <w:r w:rsidR="00494461" w:rsidRPr="006D3B9D">
        <w:rPr>
          <w:sz w:val="25"/>
          <w:szCs w:val="25"/>
        </w:rPr>
        <w:t>ми</w:t>
      </w:r>
      <w:r w:rsidRPr="006D3B9D">
        <w:rPr>
          <w:sz w:val="25"/>
          <w:szCs w:val="25"/>
        </w:rPr>
        <w:t xml:space="preserve"> 196-20</w:t>
      </w:r>
      <w:r w:rsidR="006E6F8C" w:rsidRPr="006D3B9D">
        <w:rPr>
          <w:sz w:val="25"/>
          <w:szCs w:val="25"/>
        </w:rPr>
        <w:t>7</w:t>
      </w:r>
      <w:r w:rsidRPr="006D3B9D">
        <w:rPr>
          <w:sz w:val="25"/>
          <w:szCs w:val="25"/>
        </w:rPr>
        <w:t xml:space="preserve"> цього рішення </w:t>
      </w:r>
      <w:r w:rsidR="00BE541E" w:rsidRPr="006D3B9D">
        <w:rPr>
          <w:sz w:val="25"/>
          <w:szCs w:val="25"/>
        </w:rPr>
        <w:t xml:space="preserve">встановлено істотну невідповідність, яка сама по собі є підставою для виставлення оцінки у 0 балів </w:t>
      </w:r>
      <w:r w:rsidRPr="006D3B9D">
        <w:rPr>
          <w:sz w:val="25"/>
          <w:szCs w:val="25"/>
        </w:rPr>
        <w:t>за критері</w:t>
      </w:r>
      <w:r w:rsidR="00494461" w:rsidRPr="006D3B9D">
        <w:rPr>
          <w:sz w:val="25"/>
          <w:szCs w:val="25"/>
        </w:rPr>
        <w:t>ями</w:t>
      </w:r>
      <w:r w:rsidRPr="006D3B9D">
        <w:rPr>
          <w:sz w:val="25"/>
          <w:szCs w:val="25"/>
        </w:rPr>
        <w:t xml:space="preserve"> доброчесності та професійної етики</w:t>
      </w:r>
      <w:r w:rsidR="00BE541E" w:rsidRPr="006D3B9D">
        <w:rPr>
          <w:sz w:val="25"/>
          <w:szCs w:val="25"/>
        </w:rPr>
        <w:t>.</w:t>
      </w:r>
    </w:p>
    <w:p w14:paraId="1A8994BF" w14:textId="57B5DE35" w:rsidR="0097353D" w:rsidRPr="006D3B9D"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6D3B9D">
        <w:rPr>
          <w:sz w:val="25"/>
          <w:szCs w:val="25"/>
        </w:rPr>
        <w:t>З</w:t>
      </w:r>
      <w:r w:rsidR="00646C7D" w:rsidRPr="006D3B9D">
        <w:rPr>
          <w:sz w:val="25"/>
          <w:szCs w:val="25"/>
        </w:rPr>
        <w:t xml:space="preserve">а результатами дослідження досьє, письмових пояснень та співбесіди з кандидатом, а також </w:t>
      </w:r>
      <w:r w:rsidR="00494461" w:rsidRPr="006D3B9D">
        <w:rPr>
          <w:sz w:val="25"/>
          <w:szCs w:val="25"/>
        </w:rPr>
        <w:t>голосування</w:t>
      </w:r>
      <w:r w:rsidR="00646C7D" w:rsidRPr="006D3B9D">
        <w:rPr>
          <w:sz w:val="25"/>
          <w:szCs w:val="25"/>
        </w:rPr>
        <w:t xml:space="preserve"> під час закритого обговорення за відповідними показниками сумарний бал, отриманий за цим</w:t>
      </w:r>
      <w:r w:rsidR="00494461" w:rsidRPr="006D3B9D">
        <w:rPr>
          <w:sz w:val="25"/>
          <w:szCs w:val="25"/>
        </w:rPr>
        <w:t>и</w:t>
      </w:r>
      <w:r w:rsidR="00646C7D" w:rsidRPr="006D3B9D">
        <w:rPr>
          <w:sz w:val="25"/>
          <w:szCs w:val="25"/>
        </w:rPr>
        <w:t xml:space="preserve"> критері</w:t>
      </w:r>
      <w:r w:rsidR="00494461" w:rsidRPr="006D3B9D">
        <w:rPr>
          <w:sz w:val="25"/>
          <w:szCs w:val="25"/>
        </w:rPr>
        <w:t>ями</w:t>
      </w:r>
      <w:r w:rsidR="00646C7D" w:rsidRPr="006D3B9D">
        <w:rPr>
          <w:sz w:val="25"/>
          <w:szCs w:val="25"/>
        </w:rPr>
        <w:t xml:space="preserve">, становить </w:t>
      </w:r>
      <w:r w:rsidR="009416D4" w:rsidRPr="006D3B9D">
        <w:rPr>
          <w:sz w:val="25"/>
          <w:szCs w:val="25"/>
        </w:rPr>
        <w:t>0</w:t>
      </w:r>
      <w:r w:rsidR="00AC5837" w:rsidRPr="006D3B9D">
        <w:rPr>
          <w:sz w:val="25"/>
          <w:szCs w:val="25"/>
        </w:rPr>
        <w:t> </w:t>
      </w:r>
      <w:r w:rsidR="00646C7D" w:rsidRPr="006D3B9D">
        <w:rPr>
          <w:sz w:val="25"/>
          <w:szCs w:val="25"/>
        </w:rPr>
        <w:t xml:space="preserve">балів із 300 можливих, що </w:t>
      </w:r>
      <w:r w:rsidR="009416D4" w:rsidRPr="006D3B9D">
        <w:rPr>
          <w:sz w:val="25"/>
          <w:szCs w:val="25"/>
        </w:rPr>
        <w:t>ни</w:t>
      </w:r>
      <w:r w:rsidR="00494461" w:rsidRPr="006D3B9D">
        <w:rPr>
          <w:sz w:val="25"/>
          <w:szCs w:val="25"/>
        </w:rPr>
        <w:t>жче</w:t>
      </w:r>
      <w:r w:rsidR="00646C7D" w:rsidRPr="006D3B9D">
        <w:rPr>
          <w:sz w:val="25"/>
          <w:szCs w:val="25"/>
        </w:rPr>
        <w:t xml:space="preserve"> 75% (225 балів), тому Комісія виснує, що кандидат </w:t>
      </w:r>
      <w:r w:rsidR="009416D4" w:rsidRPr="006D3B9D">
        <w:rPr>
          <w:sz w:val="25"/>
          <w:szCs w:val="25"/>
        </w:rPr>
        <w:t xml:space="preserve">не </w:t>
      </w:r>
      <w:r w:rsidR="00646C7D" w:rsidRPr="006D3B9D">
        <w:rPr>
          <w:sz w:val="25"/>
          <w:szCs w:val="25"/>
        </w:rPr>
        <w:t>відповідає критері</w:t>
      </w:r>
      <w:r w:rsidR="00494461" w:rsidRPr="006D3B9D">
        <w:rPr>
          <w:sz w:val="25"/>
          <w:szCs w:val="25"/>
        </w:rPr>
        <w:t>ям</w:t>
      </w:r>
      <w:r w:rsidR="00646C7D" w:rsidRPr="006D3B9D">
        <w:rPr>
          <w:sz w:val="25"/>
          <w:szCs w:val="25"/>
        </w:rPr>
        <w:t xml:space="preserve"> професійної етики та доброчесності.</w:t>
      </w:r>
    </w:p>
    <w:p w14:paraId="4C6C87D4" w14:textId="6EBB8C81" w:rsidR="000A552F" w:rsidRPr="006D3B9D" w:rsidRDefault="00CC465D" w:rsidP="000A552F">
      <w:pPr>
        <w:shd w:val="clear" w:color="auto" w:fill="FFFFFF"/>
        <w:tabs>
          <w:tab w:val="left" w:pos="426"/>
        </w:tabs>
        <w:spacing w:after="200" w:line="276" w:lineRule="auto"/>
        <w:jc w:val="both"/>
        <w:rPr>
          <w:b/>
          <w:sz w:val="25"/>
          <w:szCs w:val="25"/>
        </w:rPr>
      </w:pPr>
      <w:r w:rsidRPr="006D3B9D">
        <w:rPr>
          <w:b/>
          <w:sz w:val="25"/>
          <w:szCs w:val="25"/>
        </w:rPr>
        <w:t>V</w:t>
      </w:r>
      <w:r w:rsidR="00494461" w:rsidRPr="006D3B9D">
        <w:rPr>
          <w:b/>
          <w:sz w:val="25"/>
          <w:szCs w:val="25"/>
        </w:rPr>
        <w:t>І</w:t>
      </w:r>
      <w:r w:rsidRPr="006D3B9D">
        <w:rPr>
          <w:b/>
          <w:sz w:val="25"/>
          <w:szCs w:val="25"/>
        </w:rPr>
        <w:t>. Висновки за результатами кваліфікаційного оцінювання.</w:t>
      </w:r>
    </w:p>
    <w:tbl>
      <w:tblPr>
        <w:tblStyle w:val="ae"/>
        <w:tblW w:w="9616" w:type="dxa"/>
        <w:tblLook w:val="04A0" w:firstRow="1" w:lastRow="0" w:firstColumn="1" w:lastColumn="0" w:noHBand="0" w:noVBand="1"/>
      </w:tblPr>
      <w:tblGrid>
        <w:gridCol w:w="1867"/>
        <w:gridCol w:w="3311"/>
        <w:gridCol w:w="1894"/>
        <w:gridCol w:w="2544"/>
      </w:tblGrid>
      <w:tr w:rsidR="00CC465D" w:rsidRPr="006D3B9D"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6D3B9D" w:rsidRDefault="00CC465D" w:rsidP="00CC465D">
            <w:pPr>
              <w:tabs>
                <w:tab w:val="left" w:pos="426"/>
              </w:tabs>
              <w:spacing w:line="276" w:lineRule="auto"/>
              <w:jc w:val="center"/>
              <w:rPr>
                <w:sz w:val="25"/>
                <w:szCs w:val="25"/>
              </w:rPr>
            </w:pPr>
            <w:r w:rsidRPr="006D3B9D">
              <w:rPr>
                <w:sz w:val="25"/>
                <w:szCs w:val="25"/>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6D3B9D" w:rsidRDefault="00CC465D" w:rsidP="00CC465D">
            <w:pPr>
              <w:tabs>
                <w:tab w:val="left" w:pos="426"/>
              </w:tabs>
              <w:spacing w:line="276" w:lineRule="auto"/>
              <w:jc w:val="center"/>
              <w:rPr>
                <w:sz w:val="25"/>
                <w:szCs w:val="25"/>
              </w:rPr>
            </w:pPr>
            <w:r w:rsidRPr="006D3B9D">
              <w:rPr>
                <w:sz w:val="25"/>
                <w:szCs w:val="25"/>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6D3B9D" w:rsidRDefault="00CC465D" w:rsidP="00CC465D">
            <w:pPr>
              <w:tabs>
                <w:tab w:val="left" w:pos="426"/>
              </w:tabs>
              <w:spacing w:line="276" w:lineRule="auto"/>
              <w:jc w:val="center"/>
              <w:rPr>
                <w:sz w:val="25"/>
                <w:szCs w:val="25"/>
              </w:rPr>
            </w:pPr>
            <w:r w:rsidRPr="006D3B9D">
              <w:rPr>
                <w:sz w:val="25"/>
                <w:szCs w:val="25"/>
              </w:rPr>
              <w:t>РЕЗУЛЬТАТ</w:t>
            </w:r>
            <w:r w:rsidRPr="006D3B9D">
              <w:rPr>
                <w:rFonts w:eastAsiaTheme="majorEastAsia"/>
                <w:sz w:val="25"/>
                <w:szCs w:val="25"/>
              </w:rPr>
              <w:t> </w:t>
            </w:r>
            <w:r w:rsidRPr="006D3B9D">
              <w:rPr>
                <w:sz w:val="25"/>
                <w:szCs w:val="25"/>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6D3B9D" w:rsidRDefault="00CC465D" w:rsidP="00CC465D">
            <w:pPr>
              <w:tabs>
                <w:tab w:val="left" w:pos="426"/>
              </w:tabs>
              <w:spacing w:line="276" w:lineRule="auto"/>
              <w:jc w:val="center"/>
              <w:rPr>
                <w:sz w:val="25"/>
                <w:szCs w:val="25"/>
              </w:rPr>
            </w:pPr>
            <w:r w:rsidRPr="006D3B9D">
              <w:rPr>
                <w:sz w:val="25"/>
                <w:szCs w:val="25"/>
              </w:rPr>
              <w:t>РЕЗУЛЬТАТ</w:t>
            </w:r>
            <w:r w:rsidRPr="006D3B9D">
              <w:rPr>
                <w:rFonts w:eastAsiaTheme="majorEastAsia"/>
                <w:sz w:val="25"/>
                <w:szCs w:val="25"/>
              </w:rPr>
              <w:t> </w:t>
            </w:r>
            <w:r w:rsidRPr="006D3B9D">
              <w:rPr>
                <w:sz w:val="25"/>
                <w:szCs w:val="25"/>
              </w:rPr>
              <w:br/>
              <w:t>(за критерієм)</w:t>
            </w:r>
          </w:p>
        </w:tc>
      </w:tr>
      <w:tr w:rsidR="00CC465D" w:rsidRPr="006D3B9D"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6D3B9D" w:rsidRDefault="00CC465D" w:rsidP="00180140">
            <w:pPr>
              <w:tabs>
                <w:tab w:val="left" w:pos="426"/>
              </w:tabs>
              <w:spacing w:line="276" w:lineRule="auto"/>
              <w:rPr>
                <w:sz w:val="25"/>
                <w:szCs w:val="25"/>
              </w:rPr>
            </w:pPr>
            <w:r w:rsidRPr="006D3B9D">
              <w:rPr>
                <w:sz w:val="25"/>
                <w:szCs w:val="25"/>
              </w:rPr>
              <w:t>професійна компетентність</w:t>
            </w:r>
          </w:p>
        </w:tc>
        <w:tc>
          <w:tcPr>
            <w:tcW w:w="3402" w:type="dxa"/>
            <w:tcBorders>
              <w:top w:val="single" w:sz="18" w:space="0" w:color="auto"/>
            </w:tcBorders>
          </w:tcPr>
          <w:p w14:paraId="033D8213" w14:textId="206946A1" w:rsidR="00CC465D" w:rsidRPr="006D3B9D" w:rsidRDefault="00CC465D" w:rsidP="00CC465D">
            <w:pPr>
              <w:tabs>
                <w:tab w:val="left" w:pos="426"/>
              </w:tabs>
              <w:spacing w:line="276" w:lineRule="auto"/>
              <w:jc w:val="both"/>
              <w:rPr>
                <w:sz w:val="25"/>
                <w:szCs w:val="25"/>
              </w:rPr>
            </w:pPr>
            <w:r w:rsidRPr="006D3B9D">
              <w:rPr>
                <w:sz w:val="25"/>
                <w:szCs w:val="25"/>
              </w:rPr>
              <w:t>когнітивних здібностей</w:t>
            </w:r>
          </w:p>
        </w:tc>
        <w:tc>
          <w:tcPr>
            <w:tcW w:w="1910" w:type="dxa"/>
            <w:tcBorders>
              <w:top w:val="single" w:sz="18" w:space="0" w:color="auto"/>
            </w:tcBorders>
            <w:vAlign w:val="center"/>
          </w:tcPr>
          <w:p w14:paraId="69B3CCE5" w14:textId="0757AAFB" w:rsidR="00CC465D" w:rsidRPr="006D3B9D" w:rsidRDefault="00EC312B" w:rsidP="00180140">
            <w:pPr>
              <w:tabs>
                <w:tab w:val="left" w:pos="426"/>
              </w:tabs>
              <w:spacing w:line="276" w:lineRule="auto"/>
              <w:jc w:val="center"/>
              <w:rPr>
                <w:sz w:val="25"/>
                <w:szCs w:val="25"/>
              </w:rPr>
            </w:pPr>
            <w:r w:rsidRPr="006D3B9D">
              <w:rPr>
                <w:sz w:val="25"/>
                <w:szCs w:val="25"/>
              </w:rPr>
              <w:t>4</w:t>
            </w:r>
            <w:r w:rsidR="00A36FFB" w:rsidRPr="006D3B9D">
              <w:rPr>
                <w:sz w:val="25"/>
                <w:szCs w:val="25"/>
              </w:rPr>
              <w:t>5</w:t>
            </w:r>
            <w:r w:rsidRPr="006D3B9D">
              <w:rPr>
                <w:sz w:val="25"/>
                <w:szCs w:val="25"/>
              </w:rPr>
              <w:t>,</w:t>
            </w:r>
            <w:r w:rsidR="00A36FFB" w:rsidRPr="006D3B9D">
              <w:rPr>
                <w:sz w:val="25"/>
                <w:szCs w:val="25"/>
              </w:rPr>
              <w:t>5</w:t>
            </w:r>
          </w:p>
        </w:tc>
        <w:tc>
          <w:tcPr>
            <w:tcW w:w="2608" w:type="dxa"/>
            <w:vMerge w:val="restart"/>
            <w:tcBorders>
              <w:top w:val="single" w:sz="18" w:space="0" w:color="auto"/>
              <w:bottom w:val="single" w:sz="18" w:space="0" w:color="auto"/>
              <w:right w:val="single" w:sz="18" w:space="0" w:color="auto"/>
            </w:tcBorders>
            <w:vAlign w:val="center"/>
          </w:tcPr>
          <w:p w14:paraId="31C85DAA" w14:textId="31CDFBBA" w:rsidR="00CC465D" w:rsidRPr="006D3B9D" w:rsidRDefault="00A36FFB" w:rsidP="00180140">
            <w:pPr>
              <w:tabs>
                <w:tab w:val="left" w:pos="426"/>
              </w:tabs>
              <w:spacing w:line="276" w:lineRule="auto"/>
              <w:jc w:val="center"/>
              <w:rPr>
                <w:sz w:val="25"/>
                <w:szCs w:val="25"/>
              </w:rPr>
            </w:pPr>
            <w:r w:rsidRPr="006D3B9D">
              <w:rPr>
                <w:sz w:val="25"/>
                <w:szCs w:val="25"/>
              </w:rPr>
              <w:t>338,5</w:t>
            </w:r>
          </w:p>
        </w:tc>
      </w:tr>
      <w:tr w:rsidR="00CC465D" w:rsidRPr="006D3B9D" w14:paraId="23AD7006" w14:textId="77777777" w:rsidTr="008C37AA">
        <w:tc>
          <w:tcPr>
            <w:tcW w:w="1696" w:type="dxa"/>
            <w:vMerge/>
            <w:tcBorders>
              <w:left w:val="single" w:sz="18" w:space="0" w:color="auto"/>
            </w:tcBorders>
          </w:tcPr>
          <w:p w14:paraId="770604F0" w14:textId="77777777" w:rsidR="00CC465D" w:rsidRPr="006D3B9D" w:rsidRDefault="00CC465D" w:rsidP="00CC465D">
            <w:pPr>
              <w:tabs>
                <w:tab w:val="left" w:pos="426"/>
              </w:tabs>
              <w:spacing w:line="276" w:lineRule="auto"/>
              <w:jc w:val="both"/>
              <w:rPr>
                <w:sz w:val="25"/>
                <w:szCs w:val="25"/>
              </w:rPr>
            </w:pPr>
          </w:p>
        </w:tc>
        <w:tc>
          <w:tcPr>
            <w:tcW w:w="3402" w:type="dxa"/>
          </w:tcPr>
          <w:p w14:paraId="3CF86851" w14:textId="66245B43" w:rsidR="00CC465D" w:rsidRPr="006D3B9D" w:rsidRDefault="00CC465D" w:rsidP="00CC465D">
            <w:pPr>
              <w:tabs>
                <w:tab w:val="left" w:pos="426"/>
              </w:tabs>
              <w:spacing w:line="276" w:lineRule="auto"/>
              <w:jc w:val="both"/>
              <w:rPr>
                <w:sz w:val="25"/>
                <w:szCs w:val="25"/>
              </w:rPr>
            </w:pPr>
            <w:r w:rsidRPr="006D3B9D">
              <w:rPr>
                <w:sz w:val="25"/>
                <w:szCs w:val="25"/>
              </w:rPr>
              <w:t>знання історії української державності</w:t>
            </w:r>
          </w:p>
        </w:tc>
        <w:tc>
          <w:tcPr>
            <w:tcW w:w="1910" w:type="dxa"/>
            <w:vAlign w:val="center"/>
          </w:tcPr>
          <w:p w14:paraId="20C6D274" w14:textId="3E76D65C" w:rsidR="00CC465D" w:rsidRPr="006D3B9D" w:rsidRDefault="00EC312B" w:rsidP="00180140">
            <w:pPr>
              <w:tabs>
                <w:tab w:val="left" w:pos="426"/>
              </w:tabs>
              <w:spacing w:line="276" w:lineRule="auto"/>
              <w:jc w:val="center"/>
              <w:rPr>
                <w:sz w:val="25"/>
                <w:szCs w:val="25"/>
              </w:rPr>
            </w:pPr>
            <w:r w:rsidRPr="006D3B9D">
              <w:rPr>
                <w:sz w:val="25"/>
                <w:szCs w:val="25"/>
              </w:rPr>
              <w:t>40</w:t>
            </w:r>
          </w:p>
        </w:tc>
        <w:tc>
          <w:tcPr>
            <w:tcW w:w="2608" w:type="dxa"/>
            <w:vMerge/>
            <w:tcBorders>
              <w:bottom w:val="single" w:sz="18" w:space="0" w:color="auto"/>
              <w:right w:val="single" w:sz="18" w:space="0" w:color="auto"/>
            </w:tcBorders>
            <w:vAlign w:val="center"/>
          </w:tcPr>
          <w:p w14:paraId="06847C9E" w14:textId="77777777" w:rsidR="00CC465D" w:rsidRPr="006D3B9D" w:rsidRDefault="00CC465D" w:rsidP="00180140">
            <w:pPr>
              <w:tabs>
                <w:tab w:val="left" w:pos="426"/>
              </w:tabs>
              <w:spacing w:line="276" w:lineRule="auto"/>
              <w:jc w:val="center"/>
              <w:rPr>
                <w:sz w:val="25"/>
                <w:szCs w:val="25"/>
              </w:rPr>
            </w:pPr>
          </w:p>
        </w:tc>
      </w:tr>
      <w:tr w:rsidR="00CC465D" w:rsidRPr="006D3B9D" w14:paraId="0E210C03" w14:textId="77777777" w:rsidTr="008C37AA">
        <w:tc>
          <w:tcPr>
            <w:tcW w:w="1696" w:type="dxa"/>
            <w:vMerge/>
            <w:tcBorders>
              <w:left w:val="single" w:sz="18" w:space="0" w:color="auto"/>
            </w:tcBorders>
          </w:tcPr>
          <w:p w14:paraId="1B8CFE41" w14:textId="77777777" w:rsidR="00CC465D" w:rsidRPr="006D3B9D" w:rsidRDefault="00CC465D" w:rsidP="00CC465D">
            <w:pPr>
              <w:tabs>
                <w:tab w:val="left" w:pos="426"/>
              </w:tabs>
              <w:spacing w:line="276" w:lineRule="auto"/>
              <w:jc w:val="both"/>
              <w:rPr>
                <w:sz w:val="25"/>
                <w:szCs w:val="25"/>
              </w:rPr>
            </w:pPr>
          </w:p>
        </w:tc>
        <w:tc>
          <w:tcPr>
            <w:tcW w:w="3402" w:type="dxa"/>
          </w:tcPr>
          <w:p w14:paraId="0B02D67D" w14:textId="21F273D3" w:rsidR="00CC465D" w:rsidRPr="006D3B9D" w:rsidRDefault="00CC465D" w:rsidP="00CC465D">
            <w:pPr>
              <w:tabs>
                <w:tab w:val="left" w:pos="426"/>
              </w:tabs>
              <w:spacing w:line="276" w:lineRule="auto"/>
              <w:jc w:val="both"/>
              <w:rPr>
                <w:sz w:val="25"/>
                <w:szCs w:val="25"/>
              </w:rPr>
            </w:pPr>
            <w:r w:rsidRPr="006D3B9D">
              <w:rPr>
                <w:sz w:val="25"/>
                <w:szCs w:val="25"/>
              </w:rPr>
              <w:t>знання у сфері права та спеціалізації суду</w:t>
            </w:r>
          </w:p>
        </w:tc>
        <w:tc>
          <w:tcPr>
            <w:tcW w:w="1910" w:type="dxa"/>
            <w:vAlign w:val="center"/>
          </w:tcPr>
          <w:p w14:paraId="06EB28D8" w14:textId="5E526D11" w:rsidR="00CC465D" w:rsidRPr="006D3B9D" w:rsidRDefault="00EC312B" w:rsidP="00180140">
            <w:pPr>
              <w:tabs>
                <w:tab w:val="left" w:pos="426"/>
              </w:tabs>
              <w:spacing w:line="276" w:lineRule="auto"/>
              <w:jc w:val="center"/>
              <w:rPr>
                <w:sz w:val="25"/>
                <w:szCs w:val="25"/>
              </w:rPr>
            </w:pPr>
            <w:r w:rsidRPr="006D3B9D">
              <w:rPr>
                <w:sz w:val="25"/>
                <w:szCs w:val="25"/>
              </w:rPr>
              <w:t>1</w:t>
            </w:r>
            <w:r w:rsidR="00A36FFB" w:rsidRPr="006D3B9D">
              <w:rPr>
                <w:sz w:val="25"/>
                <w:szCs w:val="25"/>
              </w:rPr>
              <w:t>37</w:t>
            </w:r>
          </w:p>
        </w:tc>
        <w:tc>
          <w:tcPr>
            <w:tcW w:w="2608" w:type="dxa"/>
            <w:vMerge/>
            <w:tcBorders>
              <w:bottom w:val="single" w:sz="18" w:space="0" w:color="auto"/>
              <w:right w:val="single" w:sz="18" w:space="0" w:color="auto"/>
            </w:tcBorders>
            <w:vAlign w:val="center"/>
          </w:tcPr>
          <w:p w14:paraId="068A9920" w14:textId="77777777" w:rsidR="00CC465D" w:rsidRPr="006D3B9D" w:rsidRDefault="00CC465D" w:rsidP="00180140">
            <w:pPr>
              <w:tabs>
                <w:tab w:val="left" w:pos="426"/>
              </w:tabs>
              <w:spacing w:line="276" w:lineRule="auto"/>
              <w:jc w:val="center"/>
              <w:rPr>
                <w:sz w:val="25"/>
                <w:szCs w:val="25"/>
              </w:rPr>
            </w:pPr>
          </w:p>
        </w:tc>
      </w:tr>
      <w:tr w:rsidR="00CC465D" w:rsidRPr="006D3B9D" w14:paraId="405EBBEB" w14:textId="77777777" w:rsidTr="008C37AA">
        <w:tc>
          <w:tcPr>
            <w:tcW w:w="1696" w:type="dxa"/>
            <w:vMerge/>
            <w:tcBorders>
              <w:left w:val="single" w:sz="18" w:space="0" w:color="auto"/>
              <w:bottom w:val="single" w:sz="18" w:space="0" w:color="auto"/>
            </w:tcBorders>
          </w:tcPr>
          <w:p w14:paraId="75466F2D" w14:textId="77777777" w:rsidR="00CC465D" w:rsidRPr="006D3B9D" w:rsidRDefault="00CC465D" w:rsidP="00CC465D">
            <w:pPr>
              <w:tabs>
                <w:tab w:val="left" w:pos="426"/>
              </w:tabs>
              <w:spacing w:line="276" w:lineRule="auto"/>
              <w:jc w:val="both"/>
              <w:rPr>
                <w:sz w:val="25"/>
                <w:szCs w:val="25"/>
              </w:rPr>
            </w:pPr>
          </w:p>
        </w:tc>
        <w:tc>
          <w:tcPr>
            <w:tcW w:w="3402" w:type="dxa"/>
            <w:tcBorders>
              <w:bottom w:val="single" w:sz="18" w:space="0" w:color="auto"/>
            </w:tcBorders>
          </w:tcPr>
          <w:p w14:paraId="2A240E1B" w14:textId="270B05B5" w:rsidR="00CC465D" w:rsidRPr="006D3B9D" w:rsidRDefault="00CC465D" w:rsidP="00CC465D">
            <w:pPr>
              <w:tabs>
                <w:tab w:val="left" w:pos="426"/>
              </w:tabs>
              <w:spacing w:line="276" w:lineRule="auto"/>
              <w:jc w:val="both"/>
              <w:rPr>
                <w:sz w:val="25"/>
                <w:szCs w:val="25"/>
              </w:rPr>
            </w:pPr>
            <w:r w:rsidRPr="006D3B9D">
              <w:rPr>
                <w:sz w:val="25"/>
                <w:szCs w:val="25"/>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48B363BB" w:rsidR="00CC465D" w:rsidRPr="006D3B9D" w:rsidRDefault="00EC312B" w:rsidP="00180140">
            <w:pPr>
              <w:tabs>
                <w:tab w:val="left" w:pos="426"/>
              </w:tabs>
              <w:spacing w:line="276" w:lineRule="auto"/>
              <w:jc w:val="center"/>
              <w:rPr>
                <w:sz w:val="25"/>
                <w:szCs w:val="25"/>
              </w:rPr>
            </w:pPr>
            <w:r w:rsidRPr="006D3B9D">
              <w:rPr>
                <w:sz w:val="25"/>
                <w:szCs w:val="25"/>
              </w:rPr>
              <w:t>1</w:t>
            </w:r>
            <w:r w:rsidR="00A36FFB" w:rsidRPr="006D3B9D">
              <w:rPr>
                <w:sz w:val="25"/>
                <w:szCs w:val="25"/>
              </w:rPr>
              <w:t>16</w:t>
            </w:r>
          </w:p>
        </w:tc>
        <w:tc>
          <w:tcPr>
            <w:tcW w:w="2608" w:type="dxa"/>
            <w:vMerge/>
            <w:tcBorders>
              <w:bottom w:val="single" w:sz="18" w:space="0" w:color="auto"/>
              <w:right w:val="single" w:sz="18" w:space="0" w:color="auto"/>
            </w:tcBorders>
            <w:vAlign w:val="center"/>
          </w:tcPr>
          <w:p w14:paraId="15AA467C" w14:textId="77777777" w:rsidR="00CC465D" w:rsidRPr="006D3B9D" w:rsidRDefault="00CC465D" w:rsidP="00180140">
            <w:pPr>
              <w:tabs>
                <w:tab w:val="left" w:pos="426"/>
              </w:tabs>
              <w:spacing w:line="276" w:lineRule="auto"/>
              <w:jc w:val="center"/>
              <w:rPr>
                <w:sz w:val="25"/>
                <w:szCs w:val="25"/>
              </w:rPr>
            </w:pPr>
          </w:p>
        </w:tc>
      </w:tr>
      <w:tr w:rsidR="00180140" w:rsidRPr="006D3B9D"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6D3B9D" w:rsidRDefault="00180140" w:rsidP="00180140">
            <w:pPr>
              <w:tabs>
                <w:tab w:val="left" w:pos="426"/>
              </w:tabs>
              <w:spacing w:line="276" w:lineRule="auto"/>
              <w:rPr>
                <w:sz w:val="25"/>
                <w:szCs w:val="25"/>
              </w:rPr>
            </w:pPr>
            <w:r w:rsidRPr="006D3B9D">
              <w:rPr>
                <w:sz w:val="25"/>
                <w:szCs w:val="25"/>
              </w:rPr>
              <w:t>особиста компетентність</w:t>
            </w:r>
          </w:p>
        </w:tc>
        <w:tc>
          <w:tcPr>
            <w:tcW w:w="3402" w:type="dxa"/>
            <w:tcBorders>
              <w:top w:val="single" w:sz="18" w:space="0" w:color="auto"/>
            </w:tcBorders>
          </w:tcPr>
          <w:p w14:paraId="525AB49A" w14:textId="4717ABF4" w:rsidR="00180140" w:rsidRPr="006D3B9D" w:rsidRDefault="00180140" w:rsidP="00CC465D">
            <w:pPr>
              <w:tabs>
                <w:tab w:val="left" w:pos="426"/>
              </w:tabs>
              <w:spacing w:line="276" w:lineRule="auto"/>
              <w:jc w:val="both"/>
              <w:rPr>
                <w:sz w:val="25"/>
                <w:szCs w:val="25"/>
              </w:rPr>
            </w:pPr>
            <w:r w:rsidRPr="006D3B9D">
              <w:rPr>
                <w:sz w:val="25"/>
                <w:szCs w:val="25"/>
              </w:rPr>
              <w:t>рішучість та відповідальність</w:t>
            </w:r>
          </w:p>
        </w:tc>
        <w:tc>
          <w:tcPr>
            <w:tcW w:w="1910" w:type="dxa"/>
            <w:tcBorders>
              <w:top w:val="single" w:sz="18" w:space="0" w:color="auto"/>
            </w:tcBorders>
            <w:vAlign w:val="center"/>
          </w:tcPr>
          <w:p w14:paraId="7CCF5F6B" w14:textId="328A1D40" w:rsidR="00180140" w:rsidRPr="006D3B9D" w:rsidRDefault="00A36FFB" w:rsidP="00180140">
            <w:pPr>
              <w:tabs>
                <w:tab w:val="left" w:pos="426"/>
              </w:tabs>
              <w:spacing w:line="276" w:lineRule="auto"/>
              <w:jc w:val="center"/>
              <w:rPr>
                <w:sz w:val="25"/>
                <w:szCs w:val="25"/>
              </w:rPr>
            </w:pPr>
            <w:r w:rsidRPr="006D3B9D">
              <w:rPr>
                <w:sz w:val="25"/>
                <w:szCs w:val="25"/>
              </w:rPr>
              <w:t>20</w:t>
            </w:r>
            <w:r w:rsidR="00EC312B" w:rsidRPr="006D3B9D">
              <w:rPr>
                <w:sz w:val="25"/>
                <w:szCs w:val="25"/>
              </w:rPr>
              <w:t>,33</w:t>
            </w:r>
          </w:p>
        </w:tc>
        <w:tc>
          <w:tcPr>
            <w:tcW w:w="2608" w:type="dxa"/>
            <w:vMerge w:val="restart"/>
            <w:tcBorders>
              <w:top w:val="single" w:sz="18" w:space="0" w:color="auto"/>
              <w:bottom w:val="single" w:sz="18" w:space="0" w:color="auto"/>
              <w:right w:val="single" w:sz="18" w:space="0" w:color="auto"/>
            </w:tcBorders>
            <w:vAlign w:val="center"/>
          </w:tcPr>
          <w:p w14:paraId="3A8C8628" w14:textId="2EB76A2D" w:rsidR="00180140" w:rsidRPr="006D3B9D" w:rsidRDefault="00A36FFB" w:rsidP="00180140">
            <w:pPr>
              <w:tabs>
                <w:tab w:val="left" w:pos="426"/>
              </w:tabs>
              <w:spacing w:line="276" w:lineRule="auto"/>
              <w:jc w:val="center"/>
              <w:rPr>
                <w:sz w:val="25"/>
                <w:szCs w:val="25"/>
              </w:rPr>
            </w:pPr>
            <w:r w:rsidRPr="006D3B9D">
              <w:rPr>
                <w:sz w:val="25"/>
                <w:szCs w:val="25"/>
              </w:rPr>
              <w:t>40</w:t>
            </w:r>
          </w:p>
        </w:tc>
      </w:tr>
      <w:tr w:rsidR="00180140" w:rsidRPr="006D3B9D" w14:paraId="6952D898" w14:textId="77777777" w:rsidTr="008C37AA">
        <w:tc>
          <w:tcPr>
            <w:tcW w:w="1696" w:type="dxa"/>
            <w:vMerge/>
            <w:tcBorders>
              <w:left w:val="single" w:sz="18" w:space="0" w:color="auto"/>
              <w:bottom w:val="single" w:sz="18" w:space="0" w:color="auto"/>
            </w:tcBorders>
          </w:tcPr>
          <w:p w14:paraId="33B634B0" w14:textId="77777777" w:rsidR="00180140" w:rsidRPr="006D3B9D" w:rsidRDefault="00180140" w:rsidP="00CC465D">
            <w:pPr>
              <w:tabs>
                <w:tab w:val="left" w:pos="426"/>
              </w:tabs>
              <w:spacing w:line="276" w:lineRule="auto"/>
              <w:jc w:val="both"/>
              <w:rPr>
                <w:sz w:val="25"/>
                <w:szCs w:val="25"/>
              </w:rPr>
            </w:pPr>
          </w:p>
        </w:tc>
        <w:tc>
          <w:tcPr>
            <w:tcW w:w="3402" w:type="dxa"/>
            <w:tcBorders>
              <w:bottom w:val="single" w:sz="18" w:space="0" w:color="auto"/>
            </w:tcBorders>
          </w:tcPr>
          <w:p w14:paraId="70100041" w14:textId="1857C213" w:rsidR="00180140" w:rsidRPr="006D3B9D" w:rsidRDefault="00180140" w:rsidP="00CC465D">
            <w:pPr>
              <w:tabs>
                <w:tab w:val="left" w:pos="426"/>
              </w:tabs>
              <w:spacing w:line="276" w:lineRule="auto"/>
              <w:jc w:val="both"/>
              <w:rPr>
                <w:sz w:val="25"/>
                <w:szCs w:val="25"/>
              </w:rPr>
            </w:pPr>
            <w:r w:rsidRPr="006D3B9D">
              <w:rPr>
                <w:sz w:val="25"/>
                <w:szCs w:val="25"/>
              </w:rPr>
              <w:t>безперервний розвиток</w:t>
            </w:r>
          </w:p>
        </w:tc>
        <w:tc>
          <w:tcPr>
            <w:tcW w:w="1910" w:type="dxa"/>
            <w:tcBorders>
              <w:bottom w:val="single" w:sz="18" w:space="0" w:color="auto"/>
            </w:tcBorders>
            <w:vAlign w:val="center"/>
          </w:tcPr>
          <w:p w14:paraId="30E69FEC" w14:textId="1FFA6E91" w:rsidR="00180140" w:rsidRPr="006D3B9D" w:rsidRDefault="00EC312B" w:rsidP="00180140">
            <w:pPr>
              <w:tabs>
                <w:tab w:val="left" w:pos="426"/>
              </w:tabs>
              <w:spacing w:line="276" w:lineRule="auto"/>
              <w:jc w:val="center"/>
              <w:rPr>
                <w:sz w:val="25"/>
                <w:szCs w:val="25"/>
              </w:rPr>
            </w:pPr>
            <w:r w:rsidRPr="006D3B9D">
              <w:rPr>
                <w:sz w:val="25"/>
                <w:szCs w:val="25"/>
              </w:rPr>
              <w:t>19,</w:t>
            </w:r>
            <w:r w:rsidR="00A36FFB" w:rsidRPr="006D3B9D">
              <w:rPr>
                <w:sz w:val="25"/>
                <w:szCs w:val="25"/>
              </w:rPr>
              <w:t>67</w:t>
            </w:r>
          </w:p>
        </w:tc>
        <w:tc>
          <w:tcPr>
            <w:tcW w:w="2608" w:type="dxa"/>
            <w:vMerge/>
            <w:tcBorders>
              <w:bottom w:val="single" w:sz="18" w:space="0" w:color="auto"/>
              <w:right w:val="single" w:sz="18" w:space="0" w:color="auto"/>
            </w:tcBorders>
            <w:vAlign w:val="center"/>
          </w:tcPr>
          <w:p w14:paraId="1A91E034" w14:textId="77777777" w:rsidR="00180140" w:rsidRPr="006D3B9D" w:rsidRDefault="00180140" w:rsidP="00180140">
            <w:pPr>
              <w:tabs>
                <w:tab w:val="left" w:pos="426"/>
              </w:tabs>
              <w:spacing w:line="276" w:lineRule="auto"/>
              <w:jc w:val="center"/>
              <w:rPr>
                <w:sz w:val="25"/>
                <w:szCs w:val="25"/>
              </w:rPr>
            </w:pPr>
          </w:p>
        </w:tc>
      </w:tr>
      <w:tr w:rsidR="00180140" w:rsidRPr="006D3B9D"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6D3B9D" w:rsidRDefault="00180140" w:rsidP="00180140">
            <w:pPr>
              <w:tabs>
                <w:tab w:val="left" w:pos="426"/>
              </w:tabs>
              <w:spacing w:line="276" w:lineRule="auto"/>
              <w:rPr>
                <w:sz w:val="25"/>
                <w:szCs w:val="25"/>
              </w:rPr>
            </w:pPr>
            <w:r w:rsidRPr="006D3B9D">
              <w:rPr>
                <w:sz w:val="25"/>
                <w:szCs w:val="25"/>
              </w:rPr>
              <w:t>соціальна компетентність</w:t>
            </w:r>
          </w:p>
        </w:tc>
        <w:tc>
          <w:tcPr>
            <w:tcW w:w="3402" w:type="dxa"/>
            <w:tcBorders>
              <w:top w:val="single" w:sz="18" w:space="0" w:color="auto"/>
            </w:tcBorders>
          </w:tcPr>
          <w:p w14:paraId="332F5388" w14:textId="12FFFC68" w:rsidR="00180140" w:rsidRPr="006D3B9D" w:rsidRDefault="00180140" w:rsidP="00CC465D">
            <w:pPr>
              <w:tabs>
                <w:tab w:val="left" w:pos="426"/>
              </w:tabs>
              <w:spacing w:line="276" w:lineRule="auto"/>
              <w:jc w:val="both"/>
              <w:rPr>
                <w:sz w:val="25"/>
                <w:szCs w:val="25"/>
              </w:rPr>
            </w:pPr>
            <w:r w:rsidRPr="006D3B9D">
              <w:rPr>
                <w:sz w:val="25"/>
                <w:szCs w:val="25"/>
              </w:rPr>
              <w:t>ефективна комунікація</w:t>
            </w:r>
          </w:p>
        </w:tc>
        <w:tc>
          <w:tcPr>
            <w:tcW w:w="1910" w:type="dxa"/>
            <w:tcBorders>
              <w:top w:val="single" w:sz="18" w:space="0" w:color="auto"/>
            </w:tcBorders>
            <w:vAlign w:val="center"/>
          </w:tcPr>
          <w:p w14:paraId="39A46A0A" w14:textId="275720E4" w:rsidR="00180140" w:rsidRPr="006D3B9D" w:rsidRDefault="00EC312B" w:rsidP="00180140">
            <w:pPr>
              <w:tabs>
                <w:tab w:val="left" w:pos="426"/>
              </w:tabs>
              <w:spacing w:line="276" w:lineRule="auto"/>
              <w:jc w:val="center"/>
              <w:rPr>
                <w:sz w:val="25"/>
                <w:szCs w:val="25"/>
              </w:rPr>
            </w:pPr>
            <w:r w:rsidRPr="006D3B9D">
              <w:rPr>
                <w:sz w:val="25"/>
                <w:szCs w:val="25"/>
              </w:rPr>
              <w:t>9,00</w:t>
            </w:r>
          </w:p>
        </w:tc>
        <w:tc>
          <w:tcPr>
            <w:tcW w:w="2608" w:type="dxa"/>
            <w:vMerge w:val="restart"/>
            <w:tcBorders>
              <w:top w:val="single" w:sz="18" w:space="0" w:color="auto"/>
              <w:bottom w:val="single" w:sz="18" w:space="0" w:color="auto"/>
              <w:right w:val="single" w:sz="18" w:space="0" w:color="auto"/>
            </w:tcBorders>
            <w:vAlign w:val="center"/>
          </w:tcPr>
          <w:p w14:paraId="7384CF1B" w14:textId="729C9E0E" w:rsidR="00180140" w:rsidRPr="006D3B9D" w:rsidRDefault="00A36FFB" w:rsidP="00180140">
            <w:pPr>
              <w:tabs>
                <w:tab w:val="left" w:pos="426"/>
              </w:tabs>
              <w:spacing w:line="276" w:lineRule="auto"/>
              <w:jc w:val="center"/>
              <w:rPr>
                <w:sz w:val="25"/>
                <w:szCs w:val="25"/>
              </w:rPr>
            </w:pPr>
            <w:r w:rsidRPr="006D3B9D">
              <w:rPr>
                <w:sz w:val="25"/>
                <w:szCs w:val="25"/>
              </w:rPr>
              <w:t>38</w:t>
            </w:r>
          </w:p>
        </w:tc>
      </w:tr>
      <w:tr w:rsidR="00180140" w:rsidRPr="006D3B9D" w14:paraId="7D91B23F" w14:textId="77777777" w:rsidTr="008C37AA">
        <w:tc>
          <w:tcPr>
            <w:tcW w:w="1696" w:type="dxa"/>
            <w:vMerge/>
            <w:tcBorders>
              <w:left w:val="single" w:sz="18" w:space="0" w:color="auto"/>
            </w:tcBorders>
          </w:tcPr>
          <w:p w14:paraId="0A3CC4F3" w14:textId="77777777" w:rsidR="00180140" w:rsidRPr="006D3B9D" w:rsidRDefault="00180140" w:rsidP="00CC465D">
            <w:pPr>
              <w:tabs>
                <w:tab w:val="left" w:pos="426"/>
              </w:tabs>
              <w:spacing w:line="276" w:lineRule="auto"/>
              <w:jc w:val="both"/>
              <w:rPr>
                <w:sz w:val="25"/>
                <w:szCs w:val="25"/>
              </w:rPr>
            </w:pPr>
          </w:p>
        </w:tc>
        <w:tc>
          <w:tcPr>
            <w:tcW w:w="3402" w:type="dxa"/>
          </w:tcPr>
          <w:p w14:paraId="585C53ED" w14:textId="45F0F665" w:rsidR="00180140" w:rsidRPr="006D3B9D" w:rsidRDefault="00180140" w:rsidP="00CC465D">
            <w:pPr>
              <w:tabs>
                <w:tab w:val="left" w:pos="426"/>
              </w:tabs>
              <w:spacing w:line="276" w:lineRule="auto"/>
              <w:jc w:val="both"/>
              <w:rPr>
                <w:sz w:val="25"/>
                <w:szCs w:val="25"/>
              </w:rPr>
            </w:pPr>
            <w:r w:rsidRPr="006D3B9D">
              <w:rPr>
                <w:sz w:val="25"/>
                <w:szCs w:val="25"/>
              </w:rPr>
              <w:t>ефективна взаємодія</w:t>
            </w:r>
          </w:p>
        </w:tc>
        <w:tc>
          <w:tcPr>
            <w:tcW w:w="1910" w:type="dxa"/>
            <w:vAlign w:val="center"/>
          </w:tcPr>
          <w:p w14:paraId="690C8708" w14:textId="214DB90B" w:rsidR="00180140" w:rsidRPr="006D3B9D" w:rsidRDefault="00A36FFB" w:rsidP="00180140">
            <w:pPr>
              <w:tabs>
                <w:tab w:val="left" w:pos="426"/>
              </w:tabs>
              <w:spacing w:line="276" w:lineRule="auto"/>
              <w:jc w:val="center"/>
              <w:rPr>
                <w:sz w:val="25"/>
                <w:szCs w:val="25"/>
              </w:rPr>
            </w:pPr>
            <w:r w:rsidRPr="006D3B9D">
              <w:rPr>
                <w:sz w:val="25"/>
                <w:szCs w:val="25"/>
              </w:rPr>
              <w:t>9</w:t>
            </w:r>
            <w:r w:rsidR="00EC312B" w:rsidRPr="006D3B9D">
              <w:rPr>
                <w:sz w:val="25"/>
                <w:szCs w:val="25"/>
              </w:rPr>
              <w:t>,</w:t>
            </w:r>
            <w:r w:rsidRPr="006D3B9D">
              <w:rPr>
                <w:sz w:val="25"/>
                <w:szCs w:val="25"/>
              </w:rPr>
              <w:t>00</w:t>
            </w:r>
          </w:p>
        </w:tc>
        <w:tc>
          <w:tcPr>
            <w:tcW w:w="2608" w:type="dxa"/>
            <w:vMerge/>
            <w:tcBorders>
              <w:bottom w:val="single" w:sz="18" w:space="0" w:color="auto"/>
              <w:right w:val="single" w:sz="18" w:space="0" w:color="auto"/>
            </w:tcBorders>
            <w:vAlign w:val="center"/>
          </w:tcPr>
          <w:p w14:paraId="20A5393E" w14:textId="77777777" w:rsidR="00180140" w:rsidRPr="006D3B9D" w:rsidRDefault="00180140" w:rsidP="00180140">
            <w:pPr>
              <w:tabs>
                <w:tab w:val="left" w:pos="426"/>
              </w:tabs>
              <w:spacing w:line="276" w:lineRule="auto"/>
              <w:jc w:val="center"/>
              <w:rPr>
                <w:sz w:val="25"/>
                <w:szCs w:val="25"/>
              </w:rPr>
            </w:pPr>
          </w:p>
        </w:tc>
      </w:tr>
      <w:tr w:rsidR="00180140" w:rsidRPr="006D3B9D" w14:paraId="4A86D1CE" w14:textId="77777777" w:rsidTr="008C37AA">
        <w:tc>
          <w:tcPr>
            <w:tcW w:w="1696" w:type="dxa"/>
            <w:vMerge/>
            <w:tcBorders>
              <w:left w:val="single" w:sz="18" w:space="0" w:color="auto"/>
            </w:tcBorders>
          </w:tcPr>
          <w:p w14:paraId="6374BCD5" w14:textId="77777777" w:rsidR="00180140" w:rsidRPr="006D3B9D" w:rsidRDefault="00180140" w:rsidP="00CC465D">
            <w:pPr>
              <w:tabs>
                <w:tab w:val="left" w:pos="426"/>
              </w:tabs>
              <w:spacing w:line="276" w:lineRule="auto"/>
              <w:jc w:val="both"/>
              <w:rPr>
                <w:sz w:val="25"/>
                <w:szCs w:val="25"/>
              </w:rPr>
            </w:pPr>
          </w:p>
        </w:tc>
        <w:tc>
          <w:tcPr>
            <w:tcW w:w="3402" w:type="dxa"/>
          </w:tcPr>
          <w:p w14:paraId="107D34BD" w14:textId="5FD912BA" w:rsidR="00180140" w:rsidRPr="006D3B9D" w:rsidRDefault="00180140" w:rsidP="00CC465D">
            <w:pPr>
              <w:tabs>
                <w:tab w:val="left" w:pos="426"/>
              </w:tabs>
              <w:spacing w:line="276" w:lineRule="auto"/>
              <w:jc w:val="both"/>
              <w:rPr>
                <w:sz w:val="25"/>
                <w:szCs w:val="25"/>
              </w:rPr>
            </w:pPr>
            <w:r w:rsidRPr="006D3B9D">
              <w:rPr>
                <w:sz w:val="25"/>
                <w:szCs w:val="25"/>
              </w:rPr>
              <w:t>стійкість мотивації</w:t>
            </w:r>
          </w:p>
        </w:tc>
        <w:tc>
          <w:tcPr>
            <w:tcW w:w="1910" w:type="dxa"/>
            <w:vAlign w:val="center"/>
          </w:tcPr>
          <w:p w14:paraId="2E5CE5B7" w14:textId="10F70258" w:rsidR="00180140" w:rsidRPr="006D3B9D" w:rsidRDefault="00EC312B" w:rsidP="00180140">
            <w:pPr>
              <w:tabs>
                <w:tab w:val="left" w:pos="426"/>
              </w:tabs>
              <w:spacing w:line="276" w:lineRule="auto"/>
              <w:jc w:val="center"/>
              <w:rPr>
                <w:sz w:val="25"/>
                <w:szCs w:val="25"/>
              </w:rPr>
            </w:pPr>
            <w:r w:rsidRPr="006D3B9D">
              <w:rPr>
                <w:sz w:val="25"/>
                <w:szCs w:val="25"/>
              </w:rPr>
              <w:t>10,</w:t>
            </w:r>
            <w:r w:rsidR="00A36FFB" w:rsidRPr="006D3B9D">
              <w:rPr>
                <w:sz w:val="25"/>
                <w:szCs w:val="25"/>
              </w:rPr>
              <w:t>67</w:t>
            </w:r>
          </w:p>
        </w:tc>
        <w:tc>
          <w:tcPr>
            <w:tcW w:w="2608" w:type="dxa"/>
            <w:vMerge/>
            <w:tcBorders>
              <w:bottom w:val="single" w:sz="18" w:space="0" w:color="auto"/>
              <w:right w:val="single" w:sz="18" w:space="0" w:color="auto"/>
            </w:tcBorders>
            <w:vAlign w:val="center"/>
          </w:tcPr>
          <w:p w14:paraId="3CE57A04" w14:textId="77777777" w:rsidR="00180140" w:rsidRPr="006D3B9D" w:rsidRDefault="00180140" w:rsidP="00180140">
            <w:pPr>
              <w:tabs>
                <w:tab w:val="left" w:pos="426"/>
              </w:tabs>
              <w:spacing w:line="276" w:lineRule="auto"/>
              <w:jc w:val="center"/>
              <w:rPr>
                <w:sz w:val="25"/>
                <w:szCs w:val="25"/>
              </w:rPr>
            </w:pPr>
          </w:p>
        </w:tc>
      </w:tr>
      <w:tr w:rsidR="00180140" w:rsidRPr="006D3B9D" w14:paraId="038137C8" w14:textId="77777777" w:rsidTr="008C37AA">
        <w:tc>
          <w:tcPr>
            <w:tcW w:w="1696" w:type="dxa"/>
            <w:vMerge/>
            <w:tcBorders>
              <w:left w:val="single" w:sz="18" w:space="0" w:color="auto"/>
              <w:bottom w:val="single" w:sz="18" w:space="0" w:color="auto"/>
            </w:tcBorders>
          </w:tcPr>
          <w:p w14:paraId="799C00C6" w14:textId="77777777" w:rsidR="00180140" w:rsidRPr="006D3B9D" w:rsidRDefault="00180140" w:rsidP="00CC465D">
            <w:pPr>
              <w:tabs>
                <w:tab w:val="left" w:pos="426"/>
              </w:tabs>
              <w:spacing w:line="276" w:lineRule="auto"/>
              <w:jc w:val="both"/>
              <w:rPr>
                <w:sz w:val="25"/>
                <w:szCs w:val="25"/>
              </w:rPr>
            </w:pPr>
          </w:p>
        </w:tc>
        <w:tc>
          <w:tcPr>
            <w:tcW w:w="3402" w:type="dxa"/>
            <w:tcBorders>
              <w:bottom w:val="single" w:sz="18" w:space="0" w:color="auto"/>
            </w:tcBorders>
          </w:tcPr>
          <w:p w14:paraId="70D6AE3A" w14:textId="0F45ACC1" w:rsidR="00180140" w:rsidRPr="006D3B9D" w:rsidRDefault="00180140" w:rsidP="00CC465D">
            <w:pPr>
              <w:tabs>
                <w:tab w:val="left" w:pos="426"/>
              </w:tabs>
              <w:spacing w:line="276" w:lineRule="auto"/>
              <w:jc w:val="both"/>
              <w:rPr>
                <w:sz w:val="25"/>
                <w:szCs w:val="25"/>
              </w:rPr>
            </w:pPr>
            <w:r w:rsidRPr="006D3B9D">
              <w:rPr>
                <w:sz w:val="25"/>
                <w:szCs w:val="25"/>
              </w:rPr>
              <w:t>емоційна стійкість</w:t>
            </w:r>
          </w:p>
        </w:tc>
        <w:tc>
          <w:tcPr>
            <w:tcW w:w="1910" w:type="dxa"/>
            <w:tcBorders>
              <w:bottom w:val="single" w:sz="18" w:space="0" w:color="auto"/>
            </w:tcBorders>
            <w:vAlign w:val="center"/>
          </w:tcPr>
          <w:p w14:paraId="76E6E279" w14:textId="5C48F5A6" w:rsidR="00180140" w:rsidRPr="006D3B9D" w:rsidRDefault="00EC312B" w:rsidP="00180140">
            <w:pPr>
              <w:tabs>
                <w:tab w:val="left" w:pos="426"/>
              </w:tabs>
              <w:spacing w:line="276" w:lineRule="auto"/>
              <w:jc w:val="center"/>
              <w:rPr>
                <w:sz w:val="25"/>
                <w:szCs w:val="25"/>
              </w:rPr>
            </w:pPr>
            <w:r w:rsidRPr="006D3B9D">
              <w:rPr>
                <w:sz w:val="25"/>
                <w:szCs w:val="25"/>
              </w:rPr>
              <w:t>9,</w:t>
            </w:r>
            <w:r w:rsidR="00A36FFB" w:rsidRPr="006D3B9D">
              <w:rPr>
                <w:sz w:val="25"/>
                <w:szCs w:val="25"/>
              </w:rPr>
              <w:t>33</w:t>
            </w:r>
          </w:p>
        </w:tc>
        <w:tc>
          <w:tcPr>
            <w:tcW w:w="2608" w:type="dxa"/>
            <w:vMerge/>
            <w:tcBorders>
              <w:bottom w:val="single" w:sz="18" w:space="0" w:color="auto"/>
              <w:right w:val="single" w:sz="18" w:space="0" w:color="auto"/>
            </w:tcBorders>
            <w:vAlign w:val="center"/>
          </w:tcPr>
          <w:p w14:paraId="128B4275" w14:textId="77777777" w:rsidR="00180140" w:rsidRPr="006D3B9D" w:rsidRDefault="00180140" w:rsidP="00180140">
            <w:pPr>
              <w:tabs>
                <w:tab w:val="left" w:pos="426"/>
              </w:tabs>
              <w:spacing w:line="276" w:lineRule="auto"/>
              <w:jc w:val="center"/>
              <w:rPr>
                <w:sz w:val="25"/>
                <w:szCs w:val="25"/>
              </w:rPr>
            </w:pPr>
          </w:p>
        </w:tc>
      </w:tr>
      <w:tr w:rsidR="00180140" w:rsidRPr="006D3B9D"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6D3B9D" w:rsidRDefault="00180140" w:rsidP="00180140">
            <w:pPr>
              <w:tabs>
                <w:tab w:val="left" w:pos="426"/>
              </w:tabs>
              <w:spacing w:line="276" w:lineRule="auto"/>
              <w:rPr>
                <w:sz w:val="25"/>
                <w:szCs w:val="25"/>
              </w:rPr>
            </w:pPr>
            <w:r w:rsidRPr="006D3B9D">
              <w:rPr>
                <w:sz w:val="25"/>
                <w:szCs w:val="25"/>
              </w:rPr>
              <w:t>доброчесність та професійна етика</w:t>
            </w:r>
          </w:p>
        </w:tc>
        <w:tc>
          <w:tcPr>
            <w:tcW w:w="3402" w:type="dxa"/>
            <w:tcBorders>
              <w:top w:val="single" w:sz="18" w:space="0" w:color="auto"/>
            </w:tcBorders>
          </w:tcPr>
          <w:p w14:paraId="45D1CF9F" w14:textId="0BE080BB" w:rsidR="00180140" w:rsidRPr="006D3B9D" w:rsidRDefault="00180140" w:rsidP="00CC465D">
            <w:pPr>
              <w:tabs>
                <w:tab w:val="left" w:pos="426"/>
              </w:tabs>
              <w:spacing w:line="276" w:lineRule="auto"/>
              <w:jc w:val="both"/>
              <w:rPr>
                <w:sz w:val="25"/>
                <w:szCs w:val="25"/>
              </w:rPr>
            </w:pPr>
            <w:r w:rsidRPr="006D3B9D">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0C47689D" w:rsidR="00180140" w:rsidRPr="006D3B9D" w:rsidRDefault="00180140" w:rsidP="00180140">
            <w:pPr>
              <w:tabs>
                <w:tab w:val="left" w:pos="426"/>
              </w:tabs>
              <w:spacing w:line="276" w:lineRule="auto"/>
              <w:jc w:val="center"/>
              <w:rPr>
                <w:sz w:val="25"/>
                <w:szCs w:val="25"/>
              </w:rPr>
            </w:pPr>
          </w:p>
        </w:tc>
        <w:tc>
          <w:tcPr>
            <w:tcW w:w="2608" w:type="dxa"/>
            <w:vMerge w:val="restart"/>
            <w:tcBorders>
              <w:top w:val="single" w:sz="18" w:space="0" w:color="auto"/>
              <w:bottom w:val="single" w:sz="18" w:space="0" w:color="auto"/>
              <w:right w:val="single" w:sz="18" w:space="0" w:color="auto"/>
            </w:tcBorders>
            <w:vAlign w:val="center"/>
          </w:tcPr>
          <w:p w14:paraId="1328F4CF" w14:textId="59444CA0" w:rsidR="00180140" w:rsidRPr="006D3B9D" w:rsidRDefault="00EC312B" w:rsidP="00D17EE4">
            <w:pPr>
              <w:tabs>
                <w:tab w:val="left" w:pos="426"/>
              </w:tabs>
              <w:spacing w:line="276" w:lineRule="auto"/>
              <w:jc w:val="center"/>
              <w:rPr>
                <w:sz w:val="25"/>
                <w:szCs w:val="25"/>
              </w:rPr>
            </w:pPr>
            <w:r w:rsidRPr="006D3B9D">
              <w:rPr>
                <w:sz w:val="25"/>
                <w:szCs w:val="25"/>
              </w:rPr>
              <w:t>0</w:t>
            </w:r>
          </w:p>
        </w:tc>
      </w:tr>
      <w:tr w:rsidR="00180140" w:rsidRPr="006D3B9D" w14:paraId="5B015571" w14:textId="77777777" w:rsidTr="008C37AA">
        <w:tc>
          <w:tcPr>
            <w:tcW w:w="1696" w:type="dxa"/>
            <w:vMerge/>
            <w:tcBorders>
              <w:left w:val="single" w:sz="18" w:space="0" w:color="auto"/>
              <w:bottom w:val="single" w:sz="18" w:space="0" w:color="auto"/>
            </w:tcBorders>
          </w:tcPr>
          <w:p w14:paraId="11615CAE" w14:textId="77777777" w:rsidR="00180140" w:rsidRPr="006D3B9D" w:rsidRDefault="00180140" w:rsidP="00CC465D">
            <w:pPr>
              <w:tabs>
                <w:tab w:val="left" w:pos="426"/>
              </w:tabs>
              <w:spacing w:line="276" w:lineRule="auto"/>
              <w:jc w:val="both"/>
              <w:rPr>
                <w:sz w:val="25"/>
                <w:szCs w:val="25"/>
              </w:rPr>
            </w:pPr>
          </w:p>
        </w:tc>
        <w:tc>
          <w:tcPr>
            <w:tcW w:w="3402" w:type="dxa"/>
          </w:tcPr>
          <w:p w14:paraId="5F2D4318" w14:textId="00743E4B" w:rsidR="00180140" w:rsidRPr="006D3B9D" w:rsidRDefault="00180140" w:rsidP="00CC465D">
            <w:pPr>
              <w:tabs>
                <w:tab w:val="left" w:pos="426"/>
              </w:tabs>
              <w:spacing w:line="276" w:lineRule="auto"/>
              <w:jc w:val="both"/>
              <w:rPr>
                <w:sz w:val="25"/>
                <w:szCs w:val="25"/>
              </w:rPr>
            </w:pPr>
            <w:r w:rsidRPr="006D3B9D">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0649DF1F" w14:textId="77777777" w:rsidR="00180140" w:rsidRPr="006D3B9D" w:rsidRDefault="00180140" w:rsidP="00180140">
            <w:pPr>
              <w:tabs>
                <w:tab w:val="left" w:pos="426"/>
              </w:tabs>
              <w:spacing w:line="276" w:lineRule="auto"/>
              <w:jc w:val="center"/>
              <w:rPr>
                <w:sz w:val="25"/>
                <w:szCs w:val="25"/>
              </w:rPr>
            </w:pPr>
          </w:p>
        </w:tc>
      </w:tr>
      <w:tr w:rsidR="00180140" w:rsidRPr="006D3B9D" w14:paraId="4576EF56" w14:textId="77777777" w:rsidTr="008C37AA">
        <w:tc>
          <w:tcPr>
            <w:tcW w:w="1696" w:type="dxa"/>
            <w:vMerge/>
            <w:tcBorders>
              <w:left w:val="single" w:sz="18" w:space="0" w:color="auto"/>
              <w:bottom w:val="single" w:sz="18" w:space="0" w:color="auto"/>
            </w:tcBorders>
          </w:tcPr>
          <w:p w14:paraId="3D450296" w14:textId="77777777" w:rsidR="00180140" w:rsidRPr="006D3B9D" w:rsidRDefault="00180140" w:rsidP="00CC465D">
            <w:pPr>
              <w:tabs>
                <w:tab w:val="left" w:pos="426"/>
              </w:tabs>
              <w:spacing w:line="276" w:lineRule="auto"/>
              <w:jc w:val="both"/>
              <w:rPr>
                <w:sz w:val="25"/>
                <w:szCs w:val="25"/>
              </w:rPr>
            </w:pPr>
          </w:p>
        </w:tc>
        <w:tc>
          <w:tcPr>
            <w:tcW w:w="3402" w:type="dxa"/>
          </w:tcPr>
          <w:p w14:paraId="1B8115C0" w14:textId="7EC87E9F" w:rsidR="00180140" w:rsidRPr="006D3B9D" w:rsidRDefault="00180140" w:rsidP="00CC465D">
            <w:pPr>
              <w:tabs>
                <w:tab w:val="left" w:pos="426"/>
              </w:tabs>
              <w:spacing w:line="276" w:lineRule="auto"/>
              <w:jc w:val="both"/>
              <w:rPr>
                <w:sz w:val="25"/>
                <w:szCs w:val="25"/>
              </w:rPr>
            </w:pPr>
            <w:r w:rsidRPr="006D3B9D">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356381CA" w14:textId="77777777" w:rsidR="00180140" w:rsidRPr="006D3B9D" w:rsidRDefault="00180140" w:rsidP="00180140">
            <w:pPr>
              <w:tabs>
                <w:tab w:val="left" w:pos="426"/>
              </w:tabs>
              <w:spacing w:line="276" w:lineRule="auto"/>
              <w:jc w:val="center"/>
              <w:rPr>
                <w:sz w:val="25"/>
                <w:szCs w:val="25"/>
              </w:rPr>
            </w:pPr>
          </w:p>
        </w:tc>
      </w:tr>
      <w:tr w:rsidR="00180140" w:rsidRPr="006D3B9D" w14:paraId="13E26708" w14:textId="77777777" w:rsidTr="008C37AA">
        <w:tc>
          <w:tcPr>
            <w:tcW w:w="1696" w:type="dxa"/>
            <w:vMerge/>
            <w:tcBorders>
              <w:left w:val="single" w:sz="18" w:space="0" w:color="auto"/>
              <w:bottom w:val="single" w:sz="18" w:space="0" w:color="auto"/>
            </w:tcBorders>
          </w:tcPr>
          <w:p w14:paraId="3A6101A9" w14:textId="77777777" w:rsidR="00180140" w:rsidRPr="006D3B9D" w:rsidRDefault="00180140" w:rsidP="00CC465D">
            <w:pPr>
              <w:tabs>
                <w:tab w:val="left" w:pos="426"/>
              </w:tabs>
              <w:spacing w:line="276" w:lineRule="auto"/>
              <w:jc w:val="both"/>
              <w:rPr>
                <w:sz w:val="25"/>
                <w:szCs w:val="25"/>
              </w:rPr>
            </w:pPr>
          </w:p>
        </w:tc>
        <w:tc>
          <w:tcPr>
            <w:tcW w:w="3402" w:type="dxa"/>
          </w:tcPr>
          <w:p w14:paraId="36897B8C" w14:textId="6F97695B" w:rsidR="00180140" w:rsidRPr="006D3B9D" w:rsidRDefault="00180140" w:rsidP="00CC465D">
            <w:pPr>
              <w:tabs>
                <w:tab w:val="left" w:pos="426"/>
              </w:tabs>
              <w:spacing w:line="276" w:lineRule="auto"/>
              <w:jc w:val="both"/>
              <w:rPr>
                <w:sz w:val="25"/>
                <w:szCs w:val="25"/>
              </w:rPr>
            </w:pPr>
            <w:r w:rsidRPr="006D3B9D">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13BB4F6B" w14:textId="77777777" w:rsidR="00180140" w:rsidRPr="006D3B9D" w:rsidRDefault="00180140" w:rsidP="00180140">
            <w:pPr>
              <w:tabs>
                <w:tab w:val="left" w:pos="426"/>
              </w:tabs>
              <w:spacing w:line="276" w:lineRule="auto"/>
              <w:jc w:val="center"/>
              <w:rPr>
                <w:sz w:val="25"/>
                <w:szCs w:val="25"/>
              </w:rPr>
            </w:pPr>
          </w:p>
        </w:tc>
      </w:tr>
      <w:tr w:rsidR="00180140" w:rsidRPr="006D3B9D" w14:paraId="73BA7C51" w14:textId="77777777" w:rsidTr="008C37AA">
        <w:tc>
          <w:tcPr>
            <w:tcW w:w="1696" w:type="dxa"/>
            <w:vMerge/>
            <w:tcBorders>
              <w:left w:val="single" w:sz="18" w:space="0" w:color="auto"/>
              <w:bottom w:val="single" w:sz="18" w:space="0" w:color="auto"/>
            </w:tcBorders>
          </w:tcPr>
          <w:p w14:paraId="536564E2" w14:textId="77777777" w:rsidR="00180140" w:rsidRPr="006D3B9D" w:rsidRDefault="00180140" w:rsidP="00CC465D">
            <w:pPr>
              <w:tabs>
                <w:tab w:val="left" w:pos="426"/>
              </w:tabs>
              <w:spacing w:line="276" w:lineRule="auto"/>
              <w:jc w:val="both"/>
              <w:rPr>
                <w:sz w:val="25"/>
                <w:szCs w:val="25"/>
              </w:rPr>
            </w:pPr>
          </w:p>
        </w:tc>
        <w:tc>
          <w:tcPr>
            <w:tcW w:w="3402" w:type="dxa"/>
          </w:tcPr>
          <w:p w14:paraId="73DC04F8" w14:textId="54403206" w:rsidR="00180140" w:rsidRPr="006D3B9D" w:rsidRDefault="00180140" w:rsidP="00CC465D">
            <w:pPr>
              <w:tabs>
                <w:tab w:val="left" w:pos="426"/>
              </w:tabs>
              <w:spacing w:line="276" w:lineRule="auto"/>
              <w:jc w:val="both"/>
              <w:rPr>
                <w:sz w:val="25"/>
                <w:szCs w:val="25"/>
              </w:rPr>
            </w:pPr>
            <w:r w:rsidRPr="006D3B9D">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50A56257" w14:textId="77777777" w:rsidR="00180140" w:rsidRPr="006D3B9D" w:rsidRDefault="00180140" w:rsidP="00180140">
            <w:pPr>
              <w:tabs>
                <w:tab w:val="left" w:pos="426"/>
              </w:tabs>
              <w:spacing w:line="276" w:lineRule="auto"/>
              <w:jc w:val="center"/>
              <w:rPr>
                <w:sz w:val="25"/>
                <w:szCs w:val="25"/>
              </w:rPr>
            </w:pPr>
          </w:p>
        </w:tc>
      </w:tr>
      <w:tr w:rsidR="00180140" w:rsidRPr="006D3B9D" w14:paraId="59477A1E" w14:textId="77777777" w:rsidTr="008C37AA">
        <w:tc>
          <w:tcPr>
            <w:tcW w:w="1696" w:type="dxa"/>
            <w:vMerge/>
            <w:tcBorders>
              <w:left w:val="single" w:sz="18" w:space="0" w:color="auto"/>
              <w:bottom w:val="single" w:sz="18" w:space="0" w:color="auto"/>
            </w:tcBorders>
          </w:tcPr>
          <w:p w14:paraId="3C8E5EB0" w14:textId="77777777" w:rsidR="00180140" w:rsidRPr="006D3B9D" w:rsidRDefault="00180140" w:rsidP="00CC465D">
            <w:pPr>
              <w:tabs>
                <w:tab w:val="left" w:pos="426"/>
              </w:tabs>
              <w:spacing w:line="276" w:lineRule="auto"/>
              <w:jc w:val="both"/>
              <w:rPr>
                <w:sz w:val="25"/>
                <w:szCs w:val="25"/>
              </w:rPr>
            </w:pPr>
          </w:p>
        </w:tc>
        <w:tc>
          <w:tcPr>
            <w:tcW w:w="3402" w:type="dxa"/>
            <w:tcBorders>
              <w:bottom w:val="single" w:sz="4" w:space="0" w:color="auto"/>
            </w:tcBorders>
          </w:tcPr>
          <w:p w14:paraId="3CD34AF2" w14:textId="2624B095" w:rsidR="00180140" w:rsidRPr="006D3B9D" w:rsidRDefault="00180140" w:rsidP="00CC465D">
            <w:pPr>
              <w:tabs>
                <w:tab w:val="left" w:pos="426"/>
              </w:tabs>
              <w:spacing w:line="276" w:lineRule="auto"/>
              <w:jc w:val="both"/>
              <w:rPr>
                <w:sz w:val="25"/>
                <w:szCs w:val="25"/>
              </w:rPr>
            </w:pPr>
            <w:r w:rsidRPr="006D3B9D">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3D82AD84" w14:textId="77777777" w:rsidR="00180140" w:rsidRPr="006D3B9D" w:rsidRDefault="00180140" w:rsidP="00180140">
            <w:pPr>
              <w:tabs>
                <w:tab w:val="left" w:pos="426"/>
              </w:tabs>
              <w:spacing w:line="276" w:lineRule="auto"/>
              <w:jc w:val="center"/>
              <w:rPr>
                <w:sz w:val="25"/>
                <w:szCs w:val="25"/>
              </w:rPr>
            </w:pPr>
          </w:p>
        </w:tc>
      </w:tr>
      <w:tr w:rsidR="00180140" w:rsidRPr="006D3B9D" w14:paraId="04FEC5C2" w14:textId="77777777" w:rsidTr="008C37AA">
        <w:tc>
          <w:tcPr>
            <w:tcW w:w="1696" w:type="dxa"/>
            <w:vMerge/>
            <w:tcBorders>
              <w:left w:val="single" w:sz="18" w:space="0" w:color="auto"/>
              <w:bottom w:val="single" w:sz="18" w:space="0" w:color="auto"/>
            </w:tcBorders>
          </w:tcPr>
          <w:p w14:paraId="29C947B0" w14:textId="77777777" w:rsidR="00180140" w:rsidRPr="006D3B9D" w:rsidRDefault="00180140" w:rsidP="00CC465D">
            <w:pPr>
              <w:tabs>
                <w:tab w:val="left" w:pos="426"/>
              </w:tabs>
              <w:spacing w:line="276" w:lineRule="auto"/>
              <w:jc w:val="both"/>
              <w:rPr>
                <w:sz w:val="25"/>
                <w:szCs w:val="25"/>
              </w:rPr>
            </w:pPr>
          </w:p>
        </w:tc>
        <w:tc>
          <w:tcPr>
            <w:tcW w:w="3402" w:type="dxa"/>
            <w:tcBorders>
              <w:bottom w:val="single" w:sz="18" w:space="0" w:color="auto"/>
            </w:tcBorders>
          </w:tcPr>
          <w:p w14:paraId="29CFF0EC" w14:textId="3CF55561" w:rsidR="00180140" w:rsidRPr="006D3B9D" w:rsidRDefault="00180140" w:rsidP="00CC465D">
            <w:pPr>
              <w:tabs>
                <w:tab w:val="left" w:pos="426"/>
              </w:tabs>
              <w:spacing w:line="276" w:lineRule="auto"/>
              <w:jc w:val="both"/>
              <w:rPr>
                <w:sz w:val="25"/>
                <w:szCs w:val="25"/>
              </w:rPr>
            </w:pPr>
            <w:r w:rsidRPr="006D3B9D">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D3B9D" w:rsidRDefault="00180140" w:rsidP="00180140">
            <w:pPr>
              <w:tabs>
                <w:tab w:val="left" w:pos="426"/>
              </w:tabs>
              <w:spacing w:line="276" w:lineRule="auto"/>
              <w:jc w:val="center"/>
              <w:rPr>
                <w:sz w:val="25"/>
                <w:szCs w:val="25"/>
              </w:rPr>
            </w:pPr>
          </w:p>
        </w:tc>
        <w:tc>
          <w:tcPr>
            <w:tcW w:w="2608" w:type="dxa"/>
            <w:vMerge/>
            <w:tcBorders>
              <w:bottom w:val="single" w:sz="18" w:space="0" w:color="auto"/>
              <w:right w:val="single" w:sz="18" w:space="0" w:color="auto"/>
            </w:tcBorders>
            <w:vAlign w:val="center"/>
          </w:tcPr>
          <w:p w14:paraId="0A449B19" w14:textId="77777777" w:rsidR="00180140" w:rsidRPr="006D3B9D" w:rsidRDefault="00180140" w:rsidP="00180140">
            <w:pPr>
              <w:tabs>
                <w:tab w:val="left" w:pos="426"/>
              </w:tabs>
              <w:spacing w:line="276" w:lineRule="auto"/>
              <w:jc w:val="center"/>
              <w:rPr>
                <w:sz w:val="25"/>
                <w:szCs w:val="25"/>
              </w:rPr>
            </w:pPr>
          </w:p>
        </w:tc>
      </w:tr>
      <w:tr w:rsidR="00180140" w:rsidRPr="006D3B9D" w14:paraId="72597CC4" w14:textId="77777777" w:rsidTr="00C13A4D">
        <w:tc>
          <w:tcPr>
            <w:tcW w:w="1696" w:type="dxa"/>
            <w:tcBorders>
              <w:top w:val="single" w:sz="18" w:space="0" w:color="auto"/>
              <w:left w:val="nil"/>
              <w:bottom w:val="nil"/>
              <w:right w:val="nil"/>
            </w:tcBorders>
          </w:tcPr>
          <w:p w14:paraId="376054B7" w14:textId="77777777" w:rsidR="00180140" w:rsidRPr="006D3B9D" w:rsidRDefault="00180140" w:rsidP="00CC465D">
            <w:pPr>
              <w:tabs>
                <w:tab w:val="left" w:pos="426"/>
              </w:tabs>
              <w:spacing w:line="276" w:lineRule="auto"/>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6D3B9D" w:rsidRDefault="00180140" w:rsidP="00CC465D">
            <w:pPr>
              <w:tabs>
                <w:tab w:val="left" w:pos="426"/>
              </w:tabs>
              <w:spacing w:line="276" w:lineRule="auto"/>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6D3B9D" w:rsidRDefault="00180140" w:rsidP="00180140">
            <w:pPr>
              <w:tabs>
                <w:tab w:val="left" w:pos="426"/>
              </w:tabs>
              <w:spacing w:line="276" w:lineRule="auto"/>
              <w:jc w:val="center"/>
              <w:rPr>
                <w:sz w:val="25"/>
                <w:szCs w:val="25"/>
              </w:rPr>
            </w:pPr>
            <w:r w:rsidRPr="006D3B9D">
              <w:rPr>
                <w:sz w:val="25"/>
                <w:szCs w:val="25"/>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75A122D8" w:rsidR="00180140" w:rsidRPr="006D3B9D" w:rsidRDefault="00D82F12" w:rsidP="00180140">
            <w:pPr>
              <w:tabs>
                <w:tab w:val="left" w:pos="426"/>
              </w:tabs>
              <w:spacing w:line="276" w:lineRule="auto"/>
              <w:jc w:val="center"/>
              <w:rPr>
                <w:sz w:val="25"/>
                <w:szCs w:val="25"/>
              </w:rPr>
            </w:pPr>
            <w:r w:rsidRPr="006D3B9D">
              <w:rPr>
                <w:sz w:val="25"/>
                <w:szCs w:val="25"/>
              </w:rPr>
              <w:t>4</w:t>
            </w:r>
            <w:r w:rsidR="00A36FFB" w:rsidRPr="006D3B9D">
              <w:rPr>
                <w:sz w:val="25"/>
                <w:szCs w:val="25"/>
              </w:rPr>
              <w:t>16</w:t>
            </w:r>
            <w:r w:rsidRPr="006D3B9D">
              <w:rPr>
                <w:sz w:val="25"/>
                <w:szCs w:val="25"/>
              </w:rPr>
              <w:t>,</w:t>
            </w:r>
            <w:r w:rsidR="00A36FFB" w:rsidRPr="006D3B9D">
              <w:rPr>
                <w:sz w:val="25"/>
                <w:szCs w:val="25"/>
              </w:rPr>
              <w:t>5</w:t>
            </w:r>
          </w:p>
        </w:tc>
      </w:tr>
      <w:tr w:rsidR="00CA3025" w:rsidRPr="006D3B9D" w14:paraId="75385527" w14:textId="77777777" w:rsidTr="00C13A4D">
        <w:tc>
          <w:tcPr>
            <w:tcW w:w="1696" w:type="dxa"/>
            <w:tcBorders>
              <w:top w:val="nil"/>
              <w:left w:val="nil"/>
              <w:bottom w:val="nil"/>
              <w:right w:val="nil"/>
            </w:tcBorders>
          </w:tcPr>
          <w:p w14:paraId="1AC2EC04" w14:textId="77777777" w:rsidR="00CA3025" w:rsidRPr="006D3B9D" w:rsidRDefault="00CA3025" w:rsidP="00CC465D">
            <w:pPr>
              <w:tabs>
                <w:tab w:val="left" w:pos="426"/>
              </w:tabs>
              <w:spacing w:line="276" w:lineRule="auto"/>
              <w:jc w:val="both"/>
              <w:rPr>
                <w:sz w:val="25"/>
                <w:szCs w:val="25"/>
              </w:rPr>
            </w:pPr>
          </w:p>
        </w:tc>
        <w:tc>
          <w:tcPr>
            <w:tcW w:w="3402" w:type="dxa"/>
            <w:tcBorders>
              <w:top w:val="nil"/>
              <w:left w:val="nil"/>
              <w:bottom w:val="nil"/>
              <w:right w:val="single" w:sz="18" w:space="0" w:color="auto"/>
            </w:tcBorders>
          </w:tcPr>
          <w:p w14:paraId="42E51F68" w14:textId="77777777" w:rsidR="00CA3025" w:rsidRPr="006D3B9D" w:rsidRDefault="00CA3025" w:rsidP="00CC465D">
            <w:pPr>
              <w:tabs>
                <w:tab w:val="left" w:pos="426"/>
              </w:tabs>
              <w:spacing w:line="276" w:lineRule="auto"/>
              <w:jc w:val="both"/>
              <w:rPr>
                <w:sz w:val="25"/>
                <w:szCs w:val="25"/>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6D3B9D" w:rsidRDefault="00CA3025" w:rsidP="00180140">
            <w:pPr>
              <w:tabs>
                <w:tab w:val="left" w:pos="426"/>
              </w:tabs>
              <w:spacing w:line="276" w:lineRule="auto"/>
              <w:jc w:val="center"/>
              <w:rPr>
                <w:sz w:val="25"/>
                <w:szCs w:val="25"/>
              </w:rPr>
            </w:pPr>
          </w:p>
        </w:tc>
        <w:tc>
          <w:tcPr>
            <w:tcW w:w="2608" w:type="dxa"/>
            <w:tcBorders>
              <w:top w:val="single" w:sz="18" w:space="0" w:color="auto"/>
              <w:bottom w:val="single" w:sz="18" w:space="0" w:color="auto"/>
              <w:right w:val="single" w:sz="18" w:space="0" w:color="auto"/>
            </w:tcBorders>
            <w:vAlign w:val="center"/>
          </w:tcPr>
          <w:p w14:paraId="7D565CF0" w14:textId="77777777" w:rsidR="00CA3025" w:rsidRPr="006D3B9D" w:rsidRDefault="00CA3025" w:rsidP="00180140">
            <w:pPr>
              <w:tabs>
                <w:tab w:val="left" w:pos="426"/>
              </w:tabs>
              <w:spacing w:line="276" w:lineRule="auto"/>
              <w:jc w:val="center"/>
              <w:rPr>
                <w:sz w:val="25"/>
                <w:szCs w:val="25"/>
              </w:rPr>
            </w:pPr>
          </w:p>
        </w:tc>
      </w:tr>
    </w:tbl>
    <w:p w14:paraId="7FB72AB0" w14:textId="77777777" w:rsidR="00470218" w:rsidRPr="006D3B9D" w:rsidRDefault="000C3E2F" w:rsidP="007F6A6C">
      <w:pPr>
        <w:shd w:val="clear" w:color="auto" w:fill="FFFFFF"/>
        <w:tabs>
          <w:tab w:val="left" w:pos="426"/>
        </w:tabs>
        <w:spacing w:after="200" w:line="276" w:lineRule="auto"/>
        <w:jc w:val="both"/>
        <w:rPr>
          <w:sz w:val="25"/>
          <w:szCs w:val="25"/>
        </w:rPr>
      </w:pPr>
      <w:r w:rsidRPr="006D3B9D">
        <w:rPr>
          <w:sz w:val="25"/>
          <w:szCs w:val="25"/>
        </w:rPr>
        <w:tab/>
      </w:r>
      <w:r w:rsidRPr="006D3B9D">
        <w:rPr>
          <w:sz w:val="25"/>
          <w:szCs w:val="25"/>
        </w:rPr>
        <w:tab/>
      </w:r>
    </w:p>
    <w:p w14:paraId="5BCCA70A" w14:textId="5CB04CB4" w:rsidR="00A9178E" w:rsidRPr="006D3B9D" w:rsidRDefault="00494461" w:rsidP="007F6A6C">
      <w:pPr>
        <w:shd w:val="clear" w:color="auto" w:fill="FFFFFF"/>
        <w:tabs>
          <w:tab w:val="left" w:pos="426"/>
        </w:tabs>
        <w:spacing w:after="200" w:line="276" w:lineRule="auto"/>
        <w:jc w:val="both"/>
        <w:rPr>
          <w:sz w:val="25"/>
          <w:szCs w:val="25"/>
        </w:rPr>
      </w:pPr>
      <w:r w:rsidRPr="006D3B9D">
        <w:rPr>
          <w:sz w:val="25"/>
          <w:szCs w:val="25"/>
        </w:rPr>
        <w:tab/>
      </w:r>
      <w:r w:rsidRPr="006D3B9D">
        <w:rPr>
          <w:sz w:val="25"/>
          <w:szCs w:val="25"/>
        </w:rPr>
        <w:tab/>
      </w:r>
      <w:r w:rsidR="00A9178E" w:rsidRPr="006D3B9D">
        <w:rPr>
          <w:sz w:val="25"/>
          <w:szCs w:val="25"/>
        </w:rPr>
        <w:t xml:space="preserve">Таким чином, </w:t>
      </w:r>
      <w:r w:rsidR="00CC6DB3" w:rsidRPr="006D3B9D">
        <w:rPr>
          <w:sz w:val="25"/>
          <w:szCs w:val="25"/>
        </w:rPr>
        <w:t>наявні</w:t>
      </w:r>
      <w:r w:rsidR="005673CD" w:rsidRPr="006D3B9D">
        <w:rPr>
          <w:sz w:val="25"/>
          <w:szCs w:val="25"/>
        </w:rPr>
        <w:t xml:space="preserve"> підстав</w:t>
      </w:r>
      <w:r w:rsidR="000C3E2F" w:rsidRPr="006D3B9D">
        <w:rPr>
          <w:sz w:val="25"/>
          <w:szCs w:val="25"/>
        </w:rPr>
        <w:t>и</w:t>
      </w:r>
      <w:r w:rsidR="005673CD" w:rsidRPr="006D3B9D">
        <w:rPr>
          <w:sz w:val="25"/>
          <w:szCs w:val="25"/>
        </w:rPr>
        <w:t xml:space="preserve"> для визнання</w:t>
      </w:r>
      <w:r w:rsidR="00D123D9" w:rsidRPr="006D3B9D">
        <w:rPr>
          <w:sz w:val="25"/>
          <w:szCs w:val="25"/>
        </w:rPr>
        <w:t xml:space="preserve"> </w:t>
      </w:r>
      <w:proofErr w:type="spellStart"/>
      <w:r w:rsidR="00D123D9" w:rsidRPr="006D3B9D">
        <w:rPr>
          <w:sz w:val="25"/>
          <w:szCs w:val="25"/>
        </w:rPr>
        <w:t>Косогор</w:t>
      </w:r>
      <w:proofErr w:type="spellEnd"/>
      <w:r w:rsidR="00D123D9" w:rsidRPr="006D3B9D">
        <w:rPr>
          <w:sz w:val="25"/>
          <w:szCs w:val="25"/>
        </w:rPr>
        <w:t xml:space="preserve"> О.М. такою</w:t>
      </w:r>
      <w:r w:rsidR="005673CD" w:rsidRPr="006D3B9D">
        <w:rPr>
          <w:sz w:val="25"/>
          <w:szCs w:val="25"/>
        </w:rPr>
        <w:t xml:space="preserve">, що не </w:t>
      </w:r>
      <w:r w:rsidR="00A9178E" w:rsidRPr="006D3B9D">
        <w:rPr>
          <w:sz w:val="25"/>
          <w:szCs w:val="25"/>
        </w:rPr>
        <w:t>підтверди</w:t>
      </w:r>
      <w:r w:rsidR="00D123D9" w:rsidRPr="006D3B9D">
        <w:rPr>
          <w:sz w:val="25"/>
          <w:szCs w:val="25"/>
        </w:rPr>
        <w:t>ла</w:t>
      </w:r>
      <w:r w:rsidR="00A9178E" w:rsidRPr="006D3B9D">
        <w:rPr>
          <w:sz w:val="25"/>
          <w:szCs w:val="25"/>
        </w:rPr>
        <w:t xml:space="preserve"> здатн</w:t>
      </w:r>
      <w:r w:rsidR="000C3E2F" w:rsidRPr="006D3B9D">
        <w:rPr>
          <w:sz w:val="25"/>
          <w:szCs w:val="25"/>
        </w:rPr>
        <w:t>ості</w:t>
      </w:r>
      <w:r w:rsidR="00A9178E" w:rsidRPr="006D3B9D">
        <w:rPr>
          <w:sz w:val="25"/>
          <w:szCs w:val="25"/>
        </w:rPr>
        <w:t xml:space="preserve"> здійснювати правосуддя в апеляційному </w:t>
      </w:r>
      <w:r w:rsidR="00E52E3F" w:rsidRPr="006D3B9D">
        <w:rPr>
          <w:sz w:val="25"/>
          <w:szCs w:val="25"/>
        </w:rPr>
        <w:t>загальному</w:t>
      </w:r>
      <w:r w:rsidR="00A9178E" w:rsidRPr="006D3B9D">
        <w:rPr>
          <w:sz w:val="25"/>
          <w:szCs w:val="25"/>
        </w:rPr>
        <w:t xml:space="preserve"> суді за критері</w:t>
      </w:r>
      <w:r w:rsidR="0083485D" w:rsidRPr="006D3B9D">
        <w:rPr>
          <w:sz w:val="25"/>
          <w:szCs w:val="25"/>
        </w:rPr>
        <w:t>ями</w:t>
      </w:r>
      <w:r w:rsidR="00A9178E" w:rsidRPr="006D3B9D">
        <w:rPr>
          <w:sz w:val="25"/>
          <w:szCs w:val="25"/>
        </w:rPr>
        <w:t xml:space="preserve"> </w:t>
      </w:r>
      <w:r w:rsidR="00AD7921" w:rsidRPr="006D3B9D">
        <w:rPr>
          <w:sz w:val="25"/>
          <w:szCs w:val="25"/>
        </w:rPr>
        <w:t>доброчесності та професійної етики</w:t>
      </w:r>
      <w:r w:rsidR="00A9178E" w:rsidRPr="006D3B9D">
        <w:rPr>
          <w:sz w:val="25"/>
          <w:szCs w:val="25"/>
        </w:rPr>
        <w:t>.</w:t>
      </w:r>
    </w:p>
    <w:p w14:paraId="72A0BC8B" w14:textId="3B1A6AF1" w:rsidR="00A9178E" w:rsidRPr="006D3B9D" w:rsidRDefault="00921506" w:rsidP="00A9178E">
      <w:pPr>
        <w:shd w:val="clear" w:color="auto" w:fill="FFFFFF"/>
        <w:tabs>
          <w:tab w:val="left" w:pos="426"/>
        </w:tabs>
        <w:spacing w:after="200" w:line="276" w:lineRule="auto"/>
        <w:jc w:val="both"/>
        <w:rPr>
          <w:sz w:val="25"/>
          <w:szCs w:val="25"/>
        </w:rPr>
      </w:pPr>
      <w:r w:rsidRPr="006D3B9D">
        <w:rPr>
          <w:sz w:val="25"/>
          <w:szCs w:val="25"/>
        </w:rPr>
        <w:tab/>
      </w:r>
      <w:r w:rsidRPr="006D3B9D">
        <w:rPr>
          <w:sz w:val="25"/>
          <w:szCs w:val="25"/>
        </w:rPr>
        <w:tab/>
      </w:r>
      <w:r w:rsidR="00A9178E" w:rsidRPr="006D3B9D">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6D3B9D" w:rsidRDefault="00A9178E" w:rsidP="00743B1B">
      <w:pPr>
        <w:shd w:val="clear" w:color="auto" w:fill="FFFFFF"/>
        <w:tabs>
          <w:tab w:val="left" w:pos="426"/>
        </w:tabs>
        <w:spacing w:after="200" w:line="276" w:lineRule="auto"/>
        <w:jc w:val="center"/>
        <w:rPr>
          <w:sz w:val="25"/>
          <w:szCs w:val="25"/>
        </w:rPr>
      </w:pPr>
      <w:r w:rsidRPr="006D3B9D">
        <w:rPr>
          <w:sz w:val="25"/>
          <w:szCs w:val="25"/>
        </w:rPr>
        <w:lastRenderedPageBreak/>
        <w:t>вирішила:</w:t>
      </w:r>
    </w:p>
    <w:p w14:paraId="00CFDFCA" w14:textId="1DEB6B6D" w:rsidR="0000236D" w:rsidRPr="006D3B9D" w:rsidRDefault="0000236D" w:rsidP="00F46841">
      <w:pPr>
        <w:tabs>
          <w:tab w:val="left" w:pos="-1701"/>
          <w:tab w:val="left" w:pos="-1276"/>
          <w:tab w:val="left" w:pos="0"/>
        </w:tabs>
        <w:suppressAutoHyphens/>
        <w:spacing w:line="276" w:lineRule="auto"/>
        <w:ind w:firstLine="709"/>
        <w:contextualSpacing/>
        <w:jc w:val="both"/>
        <w:rPr>
          <w:sz w:val="25"/>
          <w:szCs w:val="25"/>
        </w:rPr>
      </w:pPr>
      <w:r w:rsidRPr="006D3B9D">
        <w:rPr>
          <w:sz w:val="25"/>
          <w:szCs w:val="25"/>
        </w:rPr>
        <w:t>1. Визначити, щ</w:t>
      </w:r>
      <w:r w:rsidR="00CD1F6B" w:rsidRPr="006D3B9D">
        <w:rPr>
          <w:sz w:val="25"/>
          <w:szCs w:val="25"/>
        </w:rPr>
        <w:t>о</w:t>
      </w:r>
      <w:r w:rsidR="00C111F9" w:rsidRPr="006D3B9D">
        <w:rPr>
          <w:sz w:val="25"/>
          <w:szCs w:val="25"/>
        </w:rPr>
        <w:t xml:space="preserve"> за результатами </w:t>
      </w:r>
      <w:r w:rsidR="002D7BBA" w:rsidRPr="006D3B9D">
        <w:rPr>
          <w:sz w:val="25"/>
          <w:szCs w:val="25"/>
        </w:rPr>
        <w:t xml:space="preserve">проходження процедури </w:t>
      </w:r>
      <w:r w:rsidR="00C111F9" w:rsidRPr="006D3B9D">
        <w:rPr>
          <w:sz w:val="25"/>
          <w:szCs w:val="25"/>
        </w:rPr>
        <w:t xml:space="preserve">кваліфікаційного оцінювання кандидат на посаду судді апеляційного </w:t>
      </w:r>
      <w:r w:rsidR="00E52E3F" w:rsidRPr="006D3B9D">
        <w:rPr>
          <w:sz w:val="25"/>
          <w:szCs w:val="25"/>
        </w:rPr>
        <w:t>загального</w:t>
      </w:r>
      <w:r w:rsidR="00C111F9" w:rsidRPr="006D3B9D">
        <w:rPr>
          <w:sz w:val="25"/>
          <w:szCs w:val="25"/>
        </w:rPr>
        <w:t xml:space="preserve"> суду </w:t>
      </w:r>
      <w:proofErr w:type="spellStart"/>
      <w:r w:rsidR="001E33CC" w:rsidRPr="006D3B9D">
        <w:rPr>
          <w:sz w:val="25"/>
          <w:szCs w:val="25"/>
        </w:rPr>
        <w:t>Косогор</w:t>
      </w:r>
      <w:proofErr w:type="spellEnd"/>
      <w:r w:rsidR="001E33CC" w:rsidRPr="006D3B9D">
        <w:rPr>
          <w:sz w:val="25"/>
          <w:szCs w:val="25"/>
        </w:rPr>
        <w:t xml:space="preserve"> Оксана Миколаївна</w:t>
      </w:r>
      <w:r w:rsidR="00C111F9" w:rsidRPr="006D3B9D">
        <w:rPr>
          <w:sz w:val="25"/>
          <w:szCs w:val="25"/>
        </w:rPr>
        <w:t xml:space="preserve"> набра</w:t>
      </w:r>
      <w:r w:rsidR="001E33CC" w:rsidRPr="006D3B9D">
        <w:rPr>
          <w:sz w:val="25"/>
          <w:szCs w:val="25"/>
        </w:rPr>
        <w:t>ла</w:t>
      </w:r>
      <w:r w:rsidR="00C111F9" w:rsidRPr="006D3B9D">
        <w:rPr>
          <w:sz w:val="25"/>
          <w:szCs w:val="25"/>
        </w:rPr>
        <w:t xml:space="preserve"> </w:t>
      </w:r>
      <w:r w:rsidR="000440DF" w:rsidRPr="006D3B9D">
        <w:rPr>
          <w:sz w:val="25"/>
          <w:szCs w:val="25"/>
        </w:rPr>
        <w:t>4</w:t>
      </w:r>
      <w:r w:rsidR="001E33CC" w:rsidRPr="006D3B9D">
        <w:rPr>
          <w:sz w:val="25"/>
          <w:szCs w:val="25"/>
        </w:rPr>
        <w:t>16</w:t>
      </w:r>
      <w:r w:rsidR="00C111F9" w:rsidRPr="006D3B9D">
        <w:rPr>
          <w:sz w:val="25"/>
          <w:szCs w:val="25"/>
        </w:rPr>
        <w:t>,</w:t>
      </w:r>
      <w:r w:rsidR="001E33CC" w:rsidRPr="006D3B9D">
        <w:rPr>
          <w:sz w:val="25"/>
          <w:szCs w:val="25"/>
        </w:rPr>
        <w:t>5</w:t>
      </w:r>
      <w:r w:rsidR="00C111F9" w:rsidRPr="006D3B9D">
        <w:rPr>
          <w:sz w:val="25"/>
          <w:szCs w:val="25"/>
        </w:rPr>
        <w:t xml:space="preserve"> </w:t>
      </w:r>
      <w:proofErr w:type="spellStart"/>
      <w:r w:rsidR="00C111F9" w:rsidRPr="006D3B9D">
        <w:rPr>
          <w:sz w:val="25"/>
          <w:szCs w:val="25"/>
        </w:rPr>
        <w:t>бала</w:t>
      </w:r>
      <w:proofErr w:type="spellEnd"/>
      <w:r w:rsidRPr="006D3B9D">
        <w:rPr>
          <w:sz w:val="25"/>
          <w:szCs w:val="25"/>
        </w:rPr>
        <w:t>.</w:t>
      </w:r>
    </w:p>
    <w:p w14:paraId="2173CA6E" w14:textId="7BD6949A" w:rsidR="0000236D" w:rsidRPr="006D3B9D" w:rsidRDefault="0000236D" w:rsidP="004F700E">
      <w:pPr>
        <w:tabs>
          <w:tab w:val="left" w:pos="-1701"/>
          <w:tab w:val="left" w:pos="-1276"/>
          <w:tab w:val="left" w:pos="0"/>
        </w:tabs>
        <w:suppressAutoHyphens/>
        <w:spacing w:line="276" w:lineRule="auto"/>
        <w:ind w:firstLine="709"/>
        <w:contextualSpacing/>
        <w:jc w:val="both"/>
        <w:rPr>
          <w:sz w:val="25"/>
          <w:szCs w:val="25"/>
        </w:rPr>
      </w:pPr>
      <w:r w:rsidRPr="006D3B9D">
        <w:rPr>
          <w:sz w:val="25"/>
          <w:szCs w:val="25"/>
        </w:rPr>
        <w:t>2.</w:t>
      </w:r>
      <w:r w:rsidR="00E52E3F" w:rsidRPr="006D3B9D">
        <w:t xml:space="preserve"> </w:t>
      </w:r>
      <w:r w:rsidR="00E52E3F" w:rsidRPr="006D3B9D">
        <w:rPr>
          <w:sz w:val="25"/>
          <w:szCs w:val="25"/>
        </w:rPr>
        <w:t xml:space="preserve">Визнати </w:t>
      </w:r>
      <w:proofErr w:type="spellStart"/>
      <w:r w:rsidR="001E33CC" w:rsidRPr="006D3B9D">
        <w:rPr>
          <w:sz w:val="25"/>
          <w:szCs w:val="25"/>
        </w:rPr>
        <w:t>Косогор</w:t>
      </w:r>
      <w:proofErr w:type="spellEnd"/>
      <w:r w:rsidR="001E33CC" w:rsidRPr="006D3B9D">
        <w:rPr>
          <w:sz w:val="25"/>
          <w:szCs w:val="25"/>
        </w:rPr>
        <w:t xml:space="preserve"> Оксану Миколаївну</w:t>
      </w:r>
      <w:r w:rsidR="006F2156" w:rsidRPr="006D3B9D">
        <w:rPr>
          <w:sz w:val="25"/>
          <w:szCs w:val="25"/>
        </w:rPr>
        <w:t xml:space="preserve"> </w:t>
      </w:r>
      <w:r w:rsidR="00E52E3F" w:rsidRPr="006D3B9D">
        <w:rPr>
          <w:sz w:val="25"/>
          <w:szCs w:val="25"/>
        </w:rPr>
        <w:t>так</w:t>
      </w:r>
      <w:r w:rsidR="001E33CC" w:rsidRPr="006D3B9D">
        <w:rPr>
          <w:sz w:val="25"/>
          <w:szCs w:val="25"/>
        </w:rPr>
        <w:t>ою</w:t>
      </w:r>
      <w:r w:rsidR="00E52E3F" w:rsidRPr="006D3B9D">
        <w:rPr>
          <w:sz w:val="25"/>
          <w:szCs w:val="25"/>
        </w:rPr>
        <w:t xml:space="preserve">, що </w:t>
      </w:r>
      <w:r w:rsidR="006F2156" w:rsidRPr="006D3B9D">
        <w:rPr>
          <w:sz w:val="25"/>
          <w:szCs w:val="25"/>
        </w:rPr>
        <w:t xml:space="preserve">не </w:t>
      </w:r>
      <w:r w:rsidR="00E52E3F" w:rsidRPr="006D3B9D">
        <w:rPr>
          <w:sz w:val="25"/>
          <w:szCs w:val="25"/>
        </w:rPr>
        <w:t>підтверди</w:t>
      </w:r>
      <w:r w:rsidR="001E33CC" w:rsidRPr="006D3B9D">
        <w:rPr>
          <w:sz w:val="25"/>
          <w:szCs w:val="25"/>
        </w:rPr>
        <w:t>ла</w:t>
      </w:r>
      <w:r w:rsidR="00E52E3F" w:rsidRPr="006D3B9D">
        <w:rPr>
          <w:sz w:val="25"/>
          <w:szCs w:val="25"/>
        </w:rPr>
        <w:t xml:space="preserve"> здатн</w:t>
      </w:r>
      <w:r w:rsidR="0083485D" w:rsidRPr="006D3B9D">
        <w:rPr>
          <w:sz w:val="25"/>
          <w:szCs w:val="25"/>
        </w:rPr>
        <w:t>ості</w:t>
      </w:r>
      <w:r w:rsidR="00E52E3F" w:rsidRPr="006D3B9D">
        <w:rPr>
          <w:sz w:val="25"/>
          <w:szCs w:val="25"/>
        </w:rPr>
        <w:t xml:space="preserve"> здійснювати правосуддя в апеляційному загальному суді</w:t>
      </w:r>
      <w:r w:rsidR="0083485D" w:rsidRPr="006D3B9D">
        <w:rPr>
          <w:sz w:val="25"/>
          <w:szCs w:val="25"/>
        </w:rPr>
        <w:t>.</w:t>
      </w:r>
    </w:p>
    <w:p w14:paraId="7BD42003" w14:textId="039DC52A" w:rsidR="0000236D" w:rsidRPr="006D3B9D" w:rsidRDefault="0000236D" w:rsidP="00A9178E">
      <w:pPr>
        <w:shd w:val="clear" w:color="auto" w:fill="FFFFFF"/>
        <w:tabs>
          <w:tab w:val="left" w:pos="426"/>
        </w:tabs>
        <w:spacing w:after="200" w:line="276" w:lineRule="auto"/>
        <w:jc w:val="both"/>
        <w:rPr>
          <w:sz w:val="25"/>
          <w:szCs w:val="25"/>
        </w:rPr>
      </w:pPr>
    </w:p>
    <w:p w14:paraId="7E70FF37" w14:textId="05B4AC83" w:rsidR="0000236D" w:rsidRPr="006D3B9D" w:rsidRDefault="0000236D" w:rsidP="00E0647C">
      <w:pPr>
        <w:shd w:val="clear" w:color="auto" w:fill="FFFFFF"/>
        <w:tabs>
          <w:tab w:val="left" w:pos="426"/>
        </w:tabs>
        <w:spacing w:after="200" w:line="480" w:lineRule="auto"/>
        <w:ind w:right="-2"/>
        <w:jc w:val="both"/>
        <w:rPr>
          <w:sz w:val="25"/>
          <w:szCs w:val="25"/>
        </w:rPr>
      </w:pPr>
      <w:r w:rsidRPr="006D3B9D">
        <w:rPr>
          <w:sz w:val="25"/>
          <w:szCs w:val="25"/>
        </w:rPr>
        <w:t xml:space="preserve">Головуючий </w:t>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007638FE" w:rsidRPr="006D3B9D">
        <w:rPr>
          <w:sz w:val="25"/>
          <w:szCs w:val="25"/>
        </w:rPr>
        <w:tab/>
      </w:r>
      <w:r w:rsidR="00297161" w:rsidRPr="006D3B9D">
        <w:rPr>
          <w:sz w:val="25"/>
          <w:szCs w:val="25"/>
        </w:rPr>
        <w:tab/>
        <w:t xml:space="preserve">       </w:t>
      </w:r>
      <w:r w:rsidR="00E52E3F" w:rsidRPr="006D3B9D">
        <w:rPr>
          <w:sz w:val="25"/>
          <w:szCs w:val="25"/>
        </w:rPr>
        <w:t>Сергій</w:t>
      </w:r>
      <w:r w:rsidRPr="006D3B9D">
        <w:rPr>
          <w:sz w:val="25"/>
          <w:szCs w:val="25"/>
        </w:rPr>
        <w:t xml:space="preserve"> </w:t>
      </w:r>
      <w:r w:rsidR="00E52E3F" w:rsidRPr="006D3B9D">
        <w:rPr>
          <w:sz w:val="25"/>
          <w:szCs w:val="25"/>
        </w:rPr>
        <w:t>ЧУМАК</w:t>
      </w:r>
    </w:p>
    <w:p w14:paraId="0CC11C69" w14:textId="01D80611" w:rsidR="0000236D" w:rsidRPr="006D3B9D" w:rsidRDefault="0000236D" w:rsidP="00E0647C">
      <w:pPr>
        <w:shd w:val="clear" w:color="auto" w:fill="FFFFFF"/>
        <w:tabs>
          <w:tab w:val="left" w:pos="426"/>
        </w:tabs>
        <w:spacing w:after="200" w:line="480" w:lineRule="auto"/>
        <w:jc w:val="both"/>
        <w:rPr>
          <w:sz w:val="25"/>
          <w:szCs w:val="25"/>
        </w:rPr>
      </w:pPr>
      <w:r w:rsidRPr="006D3B9D">
        <w:rPr>
          <w:sz w:val="25"/>
          <w:szCs w:val="25"/>
        </w:rPr>
        <w:t xml:space="preserve">Члени </w:t>
      </w:r>
      <w:r w:rsidR="00DB6B74" w:rsidRPr="006D3B9D">
        <w:rPr>
          <w:sz w:val="25"/>
          <w:szCs w:val="25"/>
        </w:rPr>
        <w:t>Комісії</w:t>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00E52E3F" w:rsidRPr="006D3B9D">
        <w:rPr>
          <w:sz w:val="25"/>
          <w:szCs w:val="25"/>
        </w:rPr>
        <w:tab/>
      </w:r>
      <w:r w:rsidR="00723F1A" w:rsidRPr="006D3B9D">
        <w:rPr>
          <w:sz w:val="25"/>
          <w:szCs w:val="25"/>
        </w:rPr>
        <w:tab/>
      </w:r>
      <w:r w:rsidR="007638FE" w:rsidRPr="006D3B9D">
        <w:rPr>
          <w:sz w:val="25"/>
          <w:szCs w:val="25"/>
        </w:rPr>
        <w:t xml:space="preserve">       </w:t>
      </w:r>
      <w:r w:rsidR="00E52E3F" w:rsidRPr="006D3B9D">
        <w:rPr>
          <w:sz w:val="25"/>
          <w:szCs w:val="25"/>
        </w:rPr>
        <w:t>Андрій ПАСІЧНИК</w:t>
      </w:r>
    </w:p>
    <w:p w14:paraId="1FCFD694" w14:textId="7606968A" w:rsidR="0000236D" w:rsidRPr="006D3B9D" w:rsidRDefault="0000236D" w:rsidP="00E0647C">
      <w:pPr>
        <w:shd w:val="clear" w:color="auto" w:fill="FFFFFF"/>
        <w:tabs>
          <w:tab w:val="left" w:pos="426"/>
        </w:tabs>
        <w:spacing w:after="200" w:line="480" w:lineRule="auto"/>
        <w:jc w:val="both"/>
        <w:rPr>
          <w:sz w:val="25"/>
          <w:szCs w:val="25"/>
        </w:rPr>
      </w:pP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Pr="006D3B9D">
        <w:rPr>
          <w:sz w:val="25"/>
          <w:szCs w:val="25"/>
        </w:rPr>
        <w:tab/>
      </w:r>
      <w:r w:rsidR="00297161" w:rsidRPr="006D3B9D">
        <w:rPr>
          <w:sz w:val="25"/>
          <w:szCs w:val="25"/>
        </w:rPr>
        <w:tab/>
        <w:t xml:space="preserve">       </w:t>
      </w:r>
      <w:r w:rsidRPr="006D3B9D">
        <w:rPr>
          <w:sz w:val="25"/>
          <w:szCs w:val="25"/>
        </w:rPr>
        <w:t>Роман САБОДАШ</w:t>
      </w:r>
    </w:p>
    <w:sectPr w:rsidR="0000236D" w:rsidRPr="006D3B9D" w:rsidSect="00FE0E83">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1C50" w14:textId="77777777" w:rsidR="00370D44" w:rsidRPr="00744577" w:rsidRDefault="00370D44" w:rsidP="00396583">
      <w:r w:rsidRPr="00744577">
        <w:separator/>
      </w:r>
    </w:p>
  </w:endnote>
  <w:endnote w:type="continuationSeparator" w:id="0">
    <w:p w14:paraId="4F6F9CA8" w14:textId="77777777" w:rsidR="00370D44" w:rsidRPr="00744577" w:rsidRDefault="00370D44"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89D52" w14:textId="77777777" w:rsidR="00370D44" w:rsidRPr="00744577" w:rsidRDefault="00370D44" w:rsidP="00396583">
      <w:r w:rsidRPr="00744577">
        <w:separator/>
      </w:r>
    </w:p>
  </w:footnote>
  <w:footnote w:type="continuationSeparator" w:id="0">
    <w:p w14:paraId="78298561" w14:textId="77777777" w:rsidR="00370D44" w:rsidRPr="00744577" w:rsidRDefault="00370D44"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2C3ADA" w:rsidRPr="00744577" w:rsidRDefault="002C3ADA">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2C3ADA" w:rsidRPr="00744577" w:rsidRDefault="002C3AD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6"/>
  </w:num>
  <w:num w:numId="6">
    <w:abstractNumId w:val="6"/>
  </w:num>
  <w:num w:numId="7">
    <w:abstractNumId w:val="11"/>
  </w:num>
  <w:num w:numId="8">
    <w:abstractNumId w:val="1"/>
  </w:num>
  <w:num w:numId="9">
    <w:abstractNumId w:val="18"/>
  </w:num>
  <w:num w:numId="10">
    <w:abstractNumId w:val="8"/>
  </w:num>
  <w:num w:numId="11">
    <w:abstractNumId w:val="5"/>
  </w:num>
  <w:num w:numId="12">
    <w:abstractNumId w:val="19"/>
  </w:num>
  <w:num w:numId="13">
    <w:abstractNumId w:val="13"/>
  </w:num>
  <w:num w:numId="14">
    <w:abstractNumId w:val="2"/>
  </w:num>
  <w:num w:numId="15">
    <w:abstractNumId w:val="3"/>
  </w:num>
  <w:num w:numId="16">
    <w:abstractNumId w:val="15"/>
  </w:num>
  <w:num w:numId="17">
    <w:abstractNumId w:val="9"/>
  </w:num>
  <w:num w:numId="18">
    <w:abstractNumId w:val="7"/>
  </w:num>
  <w:num w:numId="19">
    <w:abstractNumId w:val="2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6E96"/>
    <w:rsid w:val="00007732"/>
    <w:rsid w:val="000101B3"/>
    <w:rsid w:val="00016127"/>
    <w:rsid w:val="000211C4"/>
    <w:rsid w:val="00021619"/>
    <w:rsid w:val="00023604"/>
    <w:rsid w:val="00026479"/>
    <w:rsid w:val="00031AEE"/>
    <w:rsid w:val="00031BB8"/>
    <w:rsid w:val="000332E6"/>
    <w:rsid w:val="00040617"/>
    <w:rsid w:val="00042F57"/>
    <w:rsid w:val="000440DF"/>
    <w:rsid w:val="00044D8F"/>
    <w:rsid w:val="00045A01"/>
    <w:rsid w:val="000464B3"/>
    <w:rsid w:val="00046700"/>
    <w:rsid w:val="00053379"/>
    <w:rsid w:val="00053E02"/>
    <w:rsid w:val="00053FA4"/>
    <w:rsid w:val="000608DC"/>
    <w:rsid w:val="000614F9"/>
    <w:rsid w:val="00061F98"/>
    <w:rsid w:val="00062F8F"/>
    <w:rsid w:val="000633C3"/>
    <w:rsid w:val="0006485D"/>
    <w:rsid w:val="00064EE2"/>
    <w:rsid w:val="00065256"/>
    <w:rsid w:val="00065D8A"/>
    <w:rsid w:val="0006718D"/>
    <w:rsid w:val="000702EF"/>
    <w:rsid w:val="000746B3"/>
    <w:rsid w:val="000820C1"/>
    <w:rsid w:val="000824C0"/>
    <w:rsid w:val="00082684"/>
    <w:rsid w:val="00082A0E"/>
    <w:rsid w:val="00085B43"/>
    <w:rsid w:val="00085CC3"/>
    <w:rsid w:val="0008773C"/>
    <w:rsid w:val="00087FF5"/>
    <w:rsid w:val="000905D2"/>
    <w:rsid w:val="00090F32"/>
    <w:rsid w:val="000921AE"/>
    <w:rsid w:val="000945BA"/>
    <w:rsid w:val="00095213"/>
    <w:rsid w:val="00097032"/>
    <w:rsid w:val="000A018B"/>
    <w:rsid w:val="000A3880"/>
    <w:rsid w:val="000A552F"/>
    <w:rsid w:val="000B0270"/>
    <w:rsid w:val="000B2ECB"/>
    <w:rsid w:val="000B36F3"/>
    <w:rsid w:val="000B59E7"/>
    <w:rsid w:val="000B7374"/>
    <w:rsid w:val="000B7721"/>
    <w:rsid w:val="000C0B93"/>
    <w:rsid w:val="000C3E2F"/>
    <w:rsid w:val="000C47E8"/>
    <w:rsid w:val="000C63C8"/>
    <w:rsid w:val="000C6EF5"/>
    <w:rsid w:val="000C7643"/>
    <w:rsid w:val="000C76D3"/>
    <w:rsid w:val="000D0330"/>
    <w:rsid w:val="000D17A0"/>
    <w:rsid w:val="000D2430"/>
    <w:rsid w:val="000D4C0B"/>
    <w:rsid w:val="000D4E87"/>
    <w:rsid w:val="000D4EAE"/>
    <w:rsid w:val="000D5CC0"/>
    <w:rsid w:val="000D6C30"/>
    <w:rsid w:val="000D6FF8"/>
    <w:rsid w:val="000D77F4"/>
    <w:rsid w:val="000E0F3D"/>
    <w:rsid w:val="000E1DEC"/>
    <w:rsid w:val="000E2E85"/>
    <w:rsid w:val="000E42FA"/>
    <w:rsid w:val="000E589B"/>
    <w:rsid w:val="000F1F0A"/>
    <w:rsid w:val="000F2F48"/>
    <w:rsid w:val="000F32D2"/>
    <w:rsid w:val="000F4073"/>
    <w:rsid w:val="000F43EA"/>
    <w:rsid w:val="000F6953"/>
    <w:rsid w:val="00103867"/>
    <w:rsid w:val="00105187"/>
    <w:rsid w:val="00105C6A"/>
    <w:rsid w:val="0010657A"/>
    <w:rsid w:val="00112EB6"/>
    <w:rsid w:val="0011520F"/>
    <w:rsid w:val="0011556F"/>
    <w:rsid w:val="0011750B"/>
    <w:rsid w:val="00120B45"/>
    <w:rsid w:val="0012389D"/>
    <w:rsid w:val="00123FF5"/>
    <w:rsid w:val="0012413D"/>
    <w:rsid w:val="001254AE"/>
    <w:rsid w:val="00132474"/>
    <w:rsid w:val="001324DA"/>
    <w:rsid w:val="00141020"/>
    <w:rsid w:val="00143E87"/>
    <w:rsid w:val="0014544A"/>
    <w:rsid w:val="001462CF"/>
    <w:rsid w:val="00150223"/>
    <w:rsid w:val="00150260"/>
    <w:rsid w:val="00151E21"/>
    <w:rsid w:val="00155727"/>
    <w:rsid w:val="001566B6"/>
    <w:rsid w:val="00157501"/>
    <w:rsid w:val="00160121"/>
    <w:rsid w:val="00161D87"/>
    <w:rsid w:val="0016332A"/>
    <w:rsid w:val="001643CB"/>
    <w:rsid w:val="001675FC"/>
    <w:rsid w:val="00171166"/>
    <w:rsid w:val="00171D10"/>
    <w:rsid w:val="001749B3"/>
    <w:rsid w:val="0017559B"/>
    <w:rsid w:val="00176692"/>
    <w:rsid w:val="00180140"/>
    <w:rsid w:val="00182814"/>
    <w:rsid w:val="00190FBD"/>
    <w:rsid w:val="00197E5C"/>
    <w:rsid w:val="001A2F87"/>
    <w:rsid w:val="001A7996"/>
    <w:rsid w:val="001B00BC"/>
    <w:rsid w:val="001B29E2"/>
    <w:rsid w:val="001B325F"/>
    <w:rsid w:val="001B3FD1"/>
    <w:rsid w:val="001B6B09"/>
    <w:rsid w:val="001B7827"/>
    <w:rsid w:val="001C0178"/>
    <w:rsid w:val="001C0977"/>
    <w:rsid w:val="001C0A2F"/>
    <w:rsid w:val="001C1E9E"/>
    <w:rsid w:val="001C4686"/>
    <w:rsid w:val="001C5403"/>
    <w:rsid w:val="001C6C68"/>
    <w:rsid w:val="001C7799"/>
    <w:rsid w:val="001D15ED"/>
    <w:rsid w:val="001D3157"/>
    <w:rsid w:val="001D5BD1"/>
    <w:rsid w:val="001E1C93"/>
    <w:rsid w:val="001E22F1"/>
    <w:rsid w:val="001E33CC"/>
    <w:rsid w:val="001E3D32"/>
    <w:rsid w:val="001E3E44"/>
    <w:rsid w:val="001E5A4B"/>
    <w:rsid w:val="001E5E67"/>
    <w:rsid w:val="001E76EF"/>
    <w:rsid w:val="001F0EEA"/>
    <w:rsid w:val="001F17C5"/>
    <w:rsid w:val="001F2551"/>
    <w:rsid w:val="001F29AC"/>
    <w:rsid w:val="001F2BDC"/>
    <w:rsid w:val="001F2DB2"/>
    <w:rsid w:val="001F3445"/>
    <w:rsid w:val="001F421C"/>
    <w:rsid w:val="001F46CC"/>
    <w:rsid w:val="001F6422"/>
    <w:rsid w:val="0020189E"/>
    <w:rsid w:val="00205B9F"/>
    <w:rsid w:val="002100A4"/>
    <w:rsid w:val="002106EE"/>
    <w:rsid w:val="00212056"/>
    <w:rsid w:val="00212814"/>
    <w:rsid w:val="002136E4"/>
    <w:rsid w:val="002156C6"/>
    <w:rsid w:val="00216D75"/>
    <w:rsid w:val="00217AC3"/>
    <w:rsid w:val="002204C1"/>
    <w:rsid w:val="00220B27"/>
    <w:rsid w:val="00221679"/>
    <w:rsid w:val="00221F6B"/>
    <w:rsid w:val="00225123"/>
    <w:rsid w:val="00225955"/>
    <w:rsid w:val="002275D5"/>
    <w:rsid w:val="00233216"/>
    <w:rsid w:val="0023377C"/>
    <w:rsid w:val="00233A60"/>
    <w:rsid w:val="00234206"/>
    <w:rsid w:val="002407B5"/>
    <w:rsid w:val="00241965"/>
    <w:rsid w:val="002445C9"/>
    <w:rsid w:val="00247202"/>
    <w:rsid w:val="00247694"/>
    <w:rsid w:val="00250AB6"/>
    <w:rsid w:val="00251B06"/>
    <w:rsid w:val="0025226A"/>
    <w:rsid w:val="002523A9"/>
    <w:rsid w:val="00252761"/>
    <w:rsid w:val="00252F4E"/>
    <w:rsid w:val="002536F2"/>
    <w:rsid w:val="00254453"/>
    <w:rsid w:val="00254B01"/>
    <w:rsid w:val="0025583D"/>
    <w:rsid w:val="002560F9"/>
    <w:rsid w:val="002627FF"/>
    <w:rsid w:val="0026341B"/>
    <w:rsid w:val="00264DA2"/>
    <w:rsid w:val="00266A5E"/>
    <w:rsid w:val="00267D5B"/>
    <w:rsid w:val="00267E97"/>
    <w:rsid w:val="00271DAE"/>
    <w:rsid w:val="0027270D"/>
    <w:rsid w:val="002736DC"/>
    <w:rsid w:val="00275D2E"/>
    <w:rsid w:val="00276137"/>
    <w:rsid w:val="0027655A"/>
    <w:rsid w:val="0027710F"/>
    <w:rsid w:val="002805A4"/>
    <w:rsid w:val="00280732"/>
    <w:rsid w:val="00282D85"/>
    <w:rsid w:val="00283A2F"/>
    <w:rsid w:val="00283D35"/>
    <w:rsid w:val="0028470C"/>
    <w:rsid w:val="00284832"/>
    <w:rsid w:val="002916EC"/>
    <w:rsid w:val="002920DE"/>
    <w:rsid w:val="00294020"/>
    <w:rsid w:val="002940B8"/>
    <w:rsid w:val="00296044"/>
    <w:rsid w:val="00297161"/>
    <w:rsid w:val="002A50AE"/>
    <w:rsid w:val="002A7FF6"/>
    <w:rsid w:val="002B24B4"/>
    <w:rsid w:val="002B4F78"/>
    <w:rsid w:val="002B5817"/>
    <w:rsid w:val="002B6F96"/>
    <w:rsid w:val="002C065D"/>
    <w:rsid w:val="002C3ADA"/>
    <w:rsid w:val="002C4FE4"/>
    <w:rsid w:val="002C6E7F"/>
    <w:rsid w:val="002D64D2"/>
    <w:rsid w:val="002D7BBA"/>
    <w:rsid w:val="002D7D4D"/>
    <w:rsid w:val="002E0EED"/>
    <w:rsid w:val="002E1512"/>
    <w:rsid w:val="002E31BD"/>
    <w:rsid w:val="002E394C"/>
    <w:rsid w:val="002E4F37"/>
    <w:rsid w:val="002E648E"/>
    <w:rsid w:val="002F15B7"/>
    <w:rsid w:val="002F243B"/>
    <w:rsid w:val="002F2F37"/>
    <w:rsid w:val="002F5AF1"/>
    <w:rsid w:val="002F643C"/>
    <w:rsid w:val="002F65C7"/>
    <w:rsid w:val="002F6D8A"/>
    <w:rsid w:val="002F73F8"/>
    <w:rsid w:val="00301CF6"/>
    <w:rsid w:val="00303255"/>
    <w:rsid w:val="00303A79"/>
    <w:rsid w:val="0030482C"/>
    <w:rsid w:val="00305281"/>
    <w:rsid w:val="00307337"/>
    <w:rsid w:val="00310CAD"/>
    <w:rsid w:val="00311944"/>
    <w:rsid w:val="003147F6"/>
    <w:rsid w:val="00315236"/>
    <w:rsid w:val="003156F9"/>
    <w:rsid w:val="00324D01"/>
    <w:rsid w:val="003260F0"/>
    <w:rsid w:val="00326653"/>
    <w:rsid w:val="00326D3D"/>
    <w:rsid w:val="00330CC4"/>
    <w:rsid w:val="0033157A"/>
    <w:rsid w:val="0033351F"/>
    <w:rsid w:val="00333697"/>
    <w:rsid w:val="0033500A"/>
    <w:rsid w:val="00336A97"/>
    <w:rsid w:val="0034068D"/>
    <w:rsid w:val="00341FC4"/>
    <w:rsid w:val="003452BF"/>
    <w:rsid w:val="00346113"/>
    <w:rsid w:val="00347772"/>
    <w:rsid w:val="00351CD4"/>
    <w:rsid w:val="00352849"/>
    <w:rsid w:val="00354E60"/>
    <w:rsid w:val="0036085C"/>
    <w:rsid w:val="00360D50"/>
    <w:rsid w:val="0036199D"/>
    <w:rsid w:val="00362B92"/>
    <w:rsid w:val="00363421"/>
    <w:rsid w:val="00363A21"/>
    <w:rsid w:val="003645B6"/>
    <w:rsid w:val="0036564F"/>
    <w:rsid w:val="00366746"/>
    <w:rsid w:val="00366F5E"/>
    <w:rsid w:val="0036725E"/>
    <w:rsid w:val="003679C3"/>
    <w:rsid w:val="00370309"/>
    <w:rsid w:val="00370D44"/>
    <w:rsid w:val="00370F3A"/>
    <w:rsid w:val="00374EEE"/>
    <w:rsid w:val="00375C71"/>
    <w:rsid w:val="00376FEA"/>
    <w:rsid w:val="00377527"/>
    <w:rsid w:val="00382BA9"/>
    <w:rsid w:val="00382D7B"/>
    <w:rsid w:val="00384F69"/>
    <w:rsid w:val="00387D8E"/>
    <w:rsid w:val="00387E25"/>
    <w:rsid w:val="00390580"/>
    <w:rsid w:val="003912C5"/>
    <w:rsid w:val="003921F9"/>
    <w:rsid w:val="003922D2"/>
    <w:rsid w:val="00392F67"/>
    <w:rsid w:val="00393E48"/>
    <w:rsid w:val="00393F48"/>
    <w:rsid w:val="003940B6"/>
    <w:rsid w:val="0039540B"/>
    <w:rsid w:val="003963AF"/>
    <w:rsid w:val="00396583"/>
    <w:rsid w:val="003A06EF"/>
    <w:rsid w:val="003A13F4"/>
    <w:rsid w:val="003A3CE6"/>
    <w:rsid w:val="003A3F98"/>
    <w:rsid w:val="003A45F2"/>
    <w:rsid w:val="003A6ECE"/>
    <w:rsid w:val="003A7277"/>
    <w:rsid w:val="003B19BB"/>
    <w:rsid w:val="003B2EE6"/>
    <w:rsid w:val="003B39C7"/>
    <w:rsid w:val="003B58E8"/>
    <w:rsid w:val="003B665F"/>
    <w:rsid w:val="003B68CC"/>
    <w:rsid w:val="003B759A"/>
    <w:rsid w:val="003C1061"/>
    <w:rsid w:val="003C107A"/>
    <w:rsid w:val="003C2498"/>
    <w:rsid w:val="003C2B46"/>
    <w:rsid w:val="003C58AF"/>
    <w:rsid w:val="003C7D26"/>
    <w:rsid w:val="003D30A9"/>
    <w:rsid w:val="003D3E60"/>
    <w:rsid w:val="003D4C5A"/>
    <w:rsid w:val="003D60BD"/>
    <w:rsid w:val="003D665E"/>
    <w:rsid w:val="003D7E4D"/>
    <w:rsid w:val="003E1E05"/>
    <w:rsid w:val="003E42E3"/>
    <w:rsid w:val="003E6095"/>
    <w:rsid w:val="003E668D"/>
    <w:rsid w:val="003E7B07"/>
    <w:rsid w:val="003F011A"/>
    <w:rsid w:val="003F033C"/>
    <w:rsid w:val="003F0EFD"/>
    <w:rsid w:val="003F188C"/>
    <w:rsid w:val="003F4C90"/>
    <w:rsid w:val="003F79DA"/>
    <w:rsid w:val="0040196D"/>
    <w:rsid w:val="00402101"/>
    <w:rsid w:val="00403BDE"/>
    <w:rsid w:val="00404422"/>
    <w:rsid w:val="00405CED"/>
    <w:rsid w:val="00406C3D"/>
    <w:rsid w:val="00406F84"/>
    <w:rsid w:val="00410E36"/>
    <w:rsid w:val="00420326"/>
    <w:rsid w:val="0042196E"/>
    <w:rsid w:val="00422051"/>
    <w:rsid w:val="00425408"/>
    <w:rsid w:val="00426858"/>
    <w:rsid w:val="004303E3"/>
    <w:rsid w:val="0043117E"/>
    <w:rsid w:val="004317DC"/>
    <w:rsid w:val="00432FEC"/>
    <w:rsid w:val="004331D3"/>
    <w:rsid w:val="00433FA7"/>
    <w:rsid w:val="004378B5"/>
    <w:rsid w:val="00440C5C"/>
    <w:rsid w:val="0045249B"/>
    <w:rsid w:val="00452810"/>
    <w:rsid w:val="0045348E"/>
    <w:rsid w:val="004539D2"/>
    <w:rsid w:val="0045470B"/>
    <w:rsid w:val="00454ABD"/>
    <w:rsid w:val="0045725D"/>
    <w:rsid w:val="00460E78"/>
    <w:rsid w:val="00461EBA"/>
    <w:rsid w:val="00463561"/>
    <w:rsid w:val="0046468A"/>
    <w:rsid w:val="004649EE"/>
    <w:rsid w:val="00464C14"/>
    <w:rsid w:val="00465358"/>
    <w:rsid w:val="004659E6"/>
    <w:rsid w:val="00467E89"/>
    <w:rsid w:val="00470218"/>
    <w:rsid w:val="00470A41"/>
    <w:rsid w:val="00473AEE"/>
    <w:rsid w:val="00473C7E"/>
    <w:rsid w:val="004745EC"/>
    <w:rsid w:val="0047641F"/>
    <w:rsid w:val="0047747B"/>
    <w:rsid w:val="00486878"/>
    <w:rsid w:val="004874B7"/>
    <w:rsid w:val="00492189"/>
    <w:rsid w:val="00494461"/>
    <w:rsid w:val="00494DC4"/>
    <w:rsid w:val="00495740"/>
    <w:rsid w:val="004969F1"/>
    <w:rsid w:val="004A0529"/>
    <w:rsid w:val="004A09B4"/>
    <w:rsid w:val="004A0B7A"/>
    <w:rsid w:val="004A0BDC"/>
    <w:rsid w:val="004A0FF0"/>
    <w:rsid w:val="004A2490"/>
    <w:rsid w:val="004A328F"/>
    <w:rsid w:val="004A350D"/>
    <w:rsid w:val="004A50B9"/>
    <w:rsid w:val="004B4E1C"/>
    <w:rsid w:val="004B6013"/>
    <w:rsid w:val="004C0AA3"/>
    <w:rsid w:val="004C11C5"/>
    <w:rsid w:val="004C1EB1"/>
    <w:rsid w:val="004C4A93"/>
    <w:rsid w:val="004C52DE"/>
    <w:rsid w:val="004C5E91"/>
    <w:rsid w:val="004C61FC"/>
    <w:rsid w:val="004D0EAF"/>
    <w:rsid w:val="004D1DDA"/>
    <w:rsid w:val="004D2573"/>
    <w:rsid w:val="004D3F7D"/>
    <w:rsid w:val="004D48C0"/>
    <w:rsid w:val="004D5EC1"/>
    <w:rsid w:val="004D6F20"/>
    <w:rsid w:val="004D7E58"/>
    <w:rsid w:val="004E1468"/>
    <w:rsid w:val="004E1CFE"/>
    <w:rsid w:val="004E2B63"/>
    <w:rsid w:val="004E4CD9"/>
    <w:rsid w:val="004E5F4D"/>
    <w:rsid w:val="004E673F"/>
    <w:rsid w:val="004E768E"/>
    <w:rsid w:val="004F0CC3"/>
    <w:rsid w:val="004F1F45"/>
    <w:rsid w:val="004F3FA1"/>
    <w:rsid w:val="004F6EBC"/>
    <w:rsid w:val="004F700E"/>
    <w:rsid w:val="004F750E"/>
    <w:rsid w:val="005011DE"/>
    <w:rsid w:val="00502327"/>
    <w:rsid w:val="005024CA"/>
    <w:rsid w:val="00503540"/>
    <w:rsid w:val="00506495"/>
    <w:rsid w:val="005109E5"/>
    <w:rsid w:val="005127A5"/>
    <w:rsid w:val="0051364E"/>
    <w:rsid w:val="00517F98"/>
    <w:rsid w:val="005201D3"/>
    <w:rsid w:val="00520DD7"/>
    <w:rsid w:val="005217B1"/>
    <w:rsid w:val="00523DAA"/>
    <w:rsid w:val="005246BB"/>
    <w:rsid w:val="005268D7"/>
    <w:rsid w:val="0053207F"/>
    <w:rsid w:val="00534CE7"/>
    <w:rsid w:val="00535844"/>
    <w:rsid w:val="00536178"/>
    <w:rsid w:val="00536A4D"/>
    <w:rsid w:val="005374D5"/>
    <w:rsid w:val="00537A7B"/>
    <w:rsid w:val="00542EB1"/>
    <w:rsid w:val="0054484D"/>
    <w:rsid w:val="0054526A"/>
    <w:rsid w:val="00546739"/>
    <w:rsid w:val="005468D6"/>
    <w:rsid w:val="00547B43"/>
    <w:rsid w:val="0055159A"/>
    <w:rsid w:val="0055422D"/>
    <w:rsid w:val="005549CE"/>
    <w:rsid w:val="005570B9"/>
    <w:rsid w:val="00561C38"/>
    <w:rsid w:val="00567059"/>
    <w:rsid w:val="005673CD"/>
    <w:rsid w:val="00570539"/>
    <w:rsid w:val="00570CF2"/>
    <w:rsid w:val="005714FC"/>
    <w:rsid w:val="005715A6"/>
    <w:rsid w:val="005726BE"/>
    <w:rsid w:val="005734AE"/>
    <w:rsid w:val="00574935"/>
    <w:rsid w:val="00574D61"/>
    <w:rsid w:val="00576704"/>
    <w:rsid w:val="00576BA8"/>
    <w:rsid w:val="00577DBD"/>
    <w:rsid w:val="00580F92"/>
    <w:rsid w:val="00581C86"/>
    <w:rsid w:val="00581E53"/>
    <w:rsid w:val="00583A7B"/>
    <w:rsid w:val="005847DC"/>
    <w:rsid w:val="00585EEC"/>
    <w:rsid w:val="00590C36"/>
    <w:rsid w:val="00592FB5"/>
    <w:rsid w:val="0059315B"/>
    <w:rsid w:val="00593BD3"/>
    <w:rsid w:val="005A0020"/>
    <w:rsid w:val="005A1514"/>
    <w:rsid w:val="005A188F"/>
    <w:rsid w:val="005A7A59"/>
    <w:rsid w:val="005B0DE9"/>
    <w:rsid w:val="005B4868"/>
    <w:rsid w:val="005C0628"/>
    <w:rsid w:val="005C2533"/>
    <w:rsid w:val="005C3CF4"/>
    <w:rsid w:val="005C44B7"/>
    <w:rsid w:val="005C7179"/>
    <w:rsid w:val="005C744F"/>
    <w:rsid w:val="005C7630"/>
    <w:rsid w:val="005C775C"/>
    <w:rsid w:val="005D0F65"/>
    <w:rsid w:val="005D2721"/>
    <w:rsid w:val="005D716A"/>
    <w:rsid w:val="005E1A45"/>
    <w:rsid w:val="005E2CA8"/>
    <w:rsid w:val="005E3D31"/>
    <w:rsid w:val="005E75DF"/>
    <w:rsid w:val="005E7C4A"/>
    <w:rsid w:val="005F1F26"/>
    <w:rsid w:val="005F39D8"/>
    <w:rsid w:val="005F3F5E"/>
    <w:rsid w:val="005F4505"/>
    <w:rsid w:val="005F5A0C"/>
    <w:rsid w:val="005F5D5E"/>
    <w:rsid w:val="00601A36"/>
    <w:rsid w:val="00602012"/>
    <w:rsid w:val="006047D5"/>
    <w:rsid w:val="00605DA6"/>
    <w:rsid w:val="00607B40"/>
    <w:rsid w:val="006105CA"/>
    <w:rsid w:val="006136F6"/>
    <w:rsid w:val="0061397A"/>
    <w:rsid w:val="00614BF4"/>
    <w:rsid w:val="0061698E"/>
    <w:rsid w:val="00621CAE"/>
    <w:rsid w:val="00622650"/>
    <w:rsid w:val="0062379D"/>
    <w:rsid w:val="00625467"/>
    <w:rsid w:val="0062561B"/>
    <w:rsid w:val="00625A22"/>
    <w:rsid w:val="006268AA"/>
    <w:rsid w:val="00627937"/>
    <w:rsid w:val="00630677"/>
    <w:rsid w:val="00634882"/>
    <w:rsid w:val="006369A8"/>
    <w:rsid w:val="00637035"/>
    <w:rsid w:val="006377AC"/>
    <w:rsid w:val="00641EC0"/>
    <w:rsid w:val="00642445"/>
    <w:rsid w:val="006456FD"/>
    <w:rsid w:val="00646C7D"/>
    <w:rsid w:val="00646ED8"/>
    <w:rsid w:val="00647B71"/>
    <w:rsid w:val="00651099"/>
    <w:rsid w:val="00652499"/>
    <w:rsid w:val="0065295E"/>
    <w:rsid w:val="006573E8"/>
    <w:rsid w:val="00657F33"/>
    <w:rsid w:val="006607FD"/>
    <w:rsid w:val="006615AE"/>
    <w:rsid w:val="00664080"/>
    <w:rsid w:val="00665221"/>
    <w:rsid w:val="00665B1E"/>
    <w:rsid w:val="00666258"/>
    <w:rsid w:val="00672D06"/>
    <w:rsid w:val="006741C4"/>
    <w:rsid w:val="00677143"/>
    <w:rsid w:val="006779F0"/>
    <w:rsid w:val="00677C38"/>
    <w:rsid w:val="00677F18"/>
    <w:rsid w:val="00677F56"/>
    <w:rsid w:val="00680867"/>
    <w:rsid w:val="00681687"/>
    <w:rsid w:val="00681702"/>
    <w:rsid w:val="0068188B"/>
    <w:rsid w:val="0068215F"/>
    <w:rsid w:val="0068253D"/>
    <w:rsid w:val="006831A4"/>
    <w:rsid w:val="006838DE"/>
    <w:rsid w:val="00684CE9"/>
    <w:rsid w:val="00684D01"/>
    <w:rsid w:val="00687E5B"/>
    <w:rsid w:val="00690008"/>
    <w:rsid w:val="00690AAB"/>
    <w:rsid w:val="00692D86"/>
    <w:rsid w:val="00695FF8"/>
    <w:rsid w:val="00695FFA"/>
    <w:rsid w:val="006A012B"/>
    <w:rsid w:val="006A1E64"/>
    <w:rsid w:val="006A2287"/>
    <w:rsid w:val="006A3B39"/>
    <w:rsid w:val="006A4D30"/>
    <w:rsid w:val="006A509B"/>
    <w:rsid w:val="006B5024"/>
    <w:rsid w:val="006B5519"/>
    <w:rsid w:val="006B56CF"/>
    <w:rsid w:val="006B657D"/>
    <w:rsid w:val="006B7AA5"/>
    <w:rsid w:val="006C0D98"/>
    <w:rsid w:val="006C209E"/>
    <w:rsid w:val="006C3A39"/>
    <w:rsid w:val="006C3C00"/>
    <w:rsid w:val="006C4BEC"/>
    <w:rsid w:val="006C51F6"/>
    <w:rsid w:val="006C6FD4"/>
    <w:rsid w:val="006C7C31"/>
    <w:rsid w:val="006D3B9D"/>
    <w:rsid w:val="006D50DC"/>
    <w:rsid w:val="006E2E7F"/>
    <w:rsid w:val="006E3535"/>
    <w:rsid w:val="006E5121"/>
    <w:rsid w:val="006E57B4"/>
    <w:rsid w:val="006E6BD2"/>
    <w:rsid w:val="006E6F8C"/>
    <w:rsid w:val="006E751E"/>
    <w:rsid w:val="006F06F0"/>
    <w:rsid w:val="006F2156"/>
    <w:rsid w:val="006F29AC"/>
    <w:rsid w:val="006F5A0B"/>
    <w:rsid w:val="006F75EB"/>
    <w:rsid w:val="00703BA5"/>
    <w:rsid w:val="0071050D"/>
    <w:rsid w:val="00710FA5"/>
    <w:rsid w:val="00711943"/>
    <w:rsid w:val="0071272E"/>
    <w:rsid w:val="00716A92"/>
    <w:rsid w:val="00716EE6"/>
    <w:rsid w:val="007173DD"/>
    <w:rsid w:val="00717F34"/>
    <w:rsid w:val="00722F85"/>
    <w:rsid w:val="00723F1A"/>
    <w:rsid w:val="00724FAE"/>
    <w:rsid w:val="007251D2"/>
    <w:rsid w:val="00725213"/>
    <w:rsid w:val="00726102"/>
    <w:rsid w:val="00726D20"/>
    <w:rsid w:val="00727805"/>
    <w:rsid w:val="0073097D"/>
    <w:rsid w:val="007328E5"/>
    <w:rsid w:val="00732905"/>
    <w:rsid w:val="00734E40"/>
    <w:rsid w:val="007420CA"/>
    <w:rsid w:val="007422FE"/>
    <w:rsid w:val="00743B1B"/>
    <w:rsid w:val="00744577"/>
    <w:rsid w:val="00744908"/>
    <w:rsid w:val="0074587F"/>
    <w:rsid w:val="00745D2E"/>
    <w:rsid w:val="00746633"/>
    <w:rsid w:val="0075027D"/>
    <w:rsid w:val="007504F7"/>
    <w:rsid w:val="007511B9"/>
    <w:rsid w:val="00751565"/>
    <w:rsid w:val="0075243F"/>
    <w:rsid w:val="007528A9"/>
    <w:rsid w:val="0075581A"/>
    <w:rsid w:val="007602B0"/>
    <w:rsid w:val="00760BD9"/>
    <w:rsid w:val="00760FF6"/>
    <w:rsid w:val="0076127D"/>
    <w:rsid w:val="00761B23"/>
    <w:rsid w:val="007627E4"/>
    <w:rsid w:val="00763554"/>
    <w:rsid w:val="007638FE"/>
    <w:rsid w:val="00763C98"/>
    <w:rsid w:val="00766501"/>
    <w:rsid w:val="00772994"/>
    <w:rsid w:val="007767A0"/>
    <w:rsid w:val="00776A8E"/>
    <w:rsid w:val="00776ABD"/>
    <w:rsid w:val="007774EB"/>
    <w:rsid w:val="007900B4"/>
    <w:rsid w:val="007935F2"/>
    <w:rsid w:val="00794BA3"/>
    <w:rsid w:val="00796C45"/>
    <w:rsid w:val="007A04E0"/>
    <w:rsid w:val="007A1C12"/>
    <w:rsid w:val="007A4EE4"/>
    <w:rsid w:val="007A70C6"/>
    <w:rsid w:val="007B1923"/>
    <w:rsid w:val="007B1D03"/>
    <w:rsid w:val="007B326E"/>
    <w:rsid w:val="007B35E3"/>
    <w:rsid w:val="007B46BC"/>
    <w:rsid w:val="007B49BF"/>
    <w:rsid w:val="007B75D1"/>
    <w:rsid w:val="007C02CF"/>
    <w:rsid w:val="007C1B6D"/>
    <w:rsid w:val="007C338C"/>
    <w:rsid w:val="007C497B"/>
    <w:rsid w:val="007C5D96"/>
    <w:rsid w:val="007C60D7"/>
    <w:rsid w:val="007C75A5"/>
    <w:rsid w:val="007D213E"/>
    <w:rsid w:val="007D45FF"/>
    <w:rsid w:val="007D6058"/>
    <w:rsid w:val="007D79A2"/>
    <w:rsid w:val="007E0F0D"/>
    <w:rsid w:val="007E171A"/>
    <w:rsid w:val="007E241B"/>
    <w:rsid w:val="007E3CEA"/>
    <w:rsid w:val="007E780A"/>
    <w:rsid w:val="007E7C5F"/>
    <w:rsid w:val="007F032F"/>
    <w:rsid w:val="007F16C0"/>
    <w:rsid w:val="007F2622"/>
    <w:rsid w:val="007F4F6F"/>
    <w:rsid w:val="007F529E"/>
    <w:rsid w:val="007F6A6C"/>
    <w:rsid w:val="007F7338"/>
    <w:rsid w:val="007F7DAA"/>
    <w:rsid w:val="00802C4D"/>
    <w:rsid w:val="00812D63"/>
    <w:rsid w:val="00821064"/>
    <w:rsid w:val="008236EA"/>
    <w:rsid w:val="00825AFD"/>
    <w:rsid w:val="0083020B"/>
    <w:rsid w:val="00830809"/>
    <w:rsid w:val="00831848"/>
    <w:rsid w:val="0083226E"/>
    <w:rsid w:val="00832808"/>
    <w:rsid w:val="00833191"/>
    <w:rsid w:val="00833A7C"/>
    <w:rsid w:val="0083485D"/>
    <w:rsid w:val="008373AA"/>
    <w:rsid w:val="00837794"/>
    <w:rsid w:val="008415FF"/>
    <w:rsid w:val="00841CE5"/>
    <w:rsid w:val="00842DB4"/>
    <w:rsid w:val="008530AD"/>
    <w:rsid w:val="00857B24"/>
    <w:rsid w:val="00857E80"/>
    <w:rsid w:val="008613DE"/>
    <w:rsid w:val="00863395"/>
    <w:rsid w:val="008649FC"/>
    <w:rsid w:val="00864BA6"/>
    <w:rsid w:val="00866EE7"/>
    <w:rsid w:val="00867342"/>
    <w:rsid w:val="00870914"/>
    <w:rsid w:val="00872409"/>
    <w:rsid w:val="00872ED5"/>
    <w:rsid w:val="0087667D"/>
    <w:rsid w:val="00884731"/>
    <w:rsid w:val="008848B8"/>
    <w:rsid w:val="0088580E"/>
    <w:rsid w:val="00885D9B"/>
    <w:rsid w:val="00891FF6"/>
    <w:rsid w:val="00892A77"/>
    <w:rsid w:val="00893451"/>
    <w:rsid w:val="00897D91"/>
    <w:rsid w:val="00897F69"/>
    <w:rsid w:val="008A79B9"/>
    <w:rsid w:val="008A79C0"/>
    <w:rsid w:val="008B00FC"/>
    <w:rsid w:val="008B0969"/>
    <w:rsid w:val="008B1AD7"/>
    <w:rsid w:val="008B1FDD"/>
    <w:rsid w:val="008B7179"/>
    <w:rsid w:val="008C1947"/>
    <w:rsid w:val="008C2901"/>
    <w:rsid w:val="008C37AA"/>
    <w:rsid w:val="008C6AF8"/>
    <w:rsid w:val="008C6B6D"/>
    <w:rsid w:val="008C6C26"/>
    <w:rsid w:val="008C784E"/>
    <w:rsid w:val="008D06DF"/>
    <w:rsid w:val="008D22EF"/>
    <w:rsid w:val="008D2714"/>
    <w:rsid w:val="008D5C6B"/>
    <w:rsid w:val="008D75CE"/>
    <w:rsid w:val="008E1FD9"/>
    <w:rsid w:val="008E2C0B"/>
    <w:rsid w:val="008E4EE2"/>
    <w:rsid w:val="008E60F5"/>
    <w:rsid w:val="008E6C6C"/>
    <w:rsid w:val="008E7494"/>
    <w:rsid w:val="008F0502"/>
    <w:rsid w:val="008F2AC7"/>
    <w:rsid w:val="008F41DD"/>
    <w:rsid w:val="008F456B"/>
    <w:rsid w:val="008F4CB1"/>
    <w:rsid w:val="009011DC"/>
    <w:rsid w:val="00903044"/>
    <w:rsid w:val="009039FE"/>
    <w:rsid w:val="009116A6"/>
    <w:rsid w:val="0091299E"/>
    <w:rsid w:val="00912EC8"/>
    <w:rsid w:val="009132A1"/>
    <w:rsid w:val="009133B3"/>
    <w:rsid w:val="00914151"/>
    <w:rsid w:val="009149E6"/>
    <w:rsid w:val="00914CC9"/>
    <w:rsid w:val="00917E17"/>
    <w:rsid w:val="0092123E"/>
    <w:rsid w:val="00921506"/>
    <w:rsid w:val="00926779"/>
    <w:rsid w:val="00927D46"/>
    <w:rsid w:val="00930E2F"/>
    <w:rsid w:val="00932052"/>
    <w:rsid w:val="00932A61"/>
    <w:rsid w:val="0093642A"/>
    <w:rsid w:val="00937D89"/>
    <w:rsid w:val="009414B0"/>
    <w:rsid w:val="009416D4"/>
    <w:rsid w:val="009524F5"/>
    <w:rsid w:val="00954BBA"/>
    <w:rsid w:val="00957D5B"/>
    <w:rsid w:val="00957EF5"/>
    <w:rsid w:val="009617AA"/>
    <w:rsid w:val="00961C7C"/>
    <w:rsid w:val="00965969"/>
    <w:rsid w:val="00967109"/>
    <w:rsid w:val="0096798F"/>
    <w:rsid w:val="009705DE"/>
    <w:rsid w:val="0097258A"/>
    <w:rsid w:val="0097353D"/>
    <w:rsid w:val="00973D1F"/>
    <w:rsid w:val="0097588E"/>
    <w:rsid w:val="00976428"/>
    <w:rsid w:val="00976ED8"/>
    <w:rsid w:val="009776FA"/>
    <w:rsid w:val="00980382"/>
    <w:rsid w:val="00981D80"/>
    <w:rsid w:val="0098249C"/>
    <w:rsid w:val="00982E77"/>
    <w:rsid w:val="0098435E"/>
    <w:rsid w:val="00984650"/>
    <w:rsid w:val="00984B6E"/>
    <w:rsid w:val="00984E39"/>
    <w:rsid w:val="009912B6"/>
    <w:rsid w:val="00991FE6"/>
    <w:rsid w:val="0099339C"/>
    <w:rsid w:val="009934A7"/>
    <w:rsid w:val="0099380A"/>
    <w:rsid w:val="00993828"/>
    <w:rsid w:val="00994739"/>
    <w:rsid w:val="009949AC"/>
    <w:rsid w:val="00995134"/>
    <w:rsid w:val="009951A0"/>
    <w:rsid w:val="009959D2"/>
    <w:rsid w:val="00995BB5"/>
    <w:rsid w:val="00996038"/>
    <w:rsid w:val="00996732"/>
    <w:rsid w:val="009A0CEC"/>
    <w:rsid w:val="009A5E5E"/>
    <w:rsid w:val="009A74DF"/>
    <w:rsid w:val="009B0D2F"/>
    <w:rsid w:val="009B0F8B"/>
    <w:rsid w:val="009B36ED"/>
    <w:rsid w:val="009B4E15"/>
    <w:rsid w:val="009B7E37"/>
    <w:rsid w:val="009C1017"/>
    <w:rsid w:val="009C1112"/>
    <w:rsid w:val="009C1DFD"/>
    <w:rsid w:val="009C6EA0"/>
    <w:rsid w:val="009C72D3"/>
    <w:rsid w:val="009C7D49"/>
    <w:rsid w:val="009D025B"/>
    <w:rsid w:val="009D36BD"/>
    <w:rsid w:val="009D5209"/>
    <w:rsid w:val="009D54E8"/>
    <w:rsid w:val="009D5B82"/>
    <w:rsid w:val="009D6460"/>
    <w:rsid w:val="009D722C"/>
    <w:rsid w:val="009E117D"/>
    <w:rsid w:val="009E1413"/>
    <w:rsid w:val="009E4474"/>
    <w:rsid w:val="009E4A7A"/>
    <w:rsid w:val="009E51B3"/>
    <w:rsid w:val="009E52D8"/>
    <w:rsid w:val="009E6B54"/>
    <w:rsid w:val="009F01B5"/>
    <w:rsid w:val="009F0CA8"/>
    <w:rsid w:val="009F1DFF"/>
    <w:rsid w:val="009F5444"/>
    <w:rsid w:val="009F730E"/>
    <w:rsid w:val="00A00872"/>
    <w:rsid w:val="00A0176D"/>
    <w:rsid w:val="00A01E1D"/>
    <w:rsid w:val="00A03303"/>
    <w:rsid w:val="00A03D91"/>
    <w:rsid w:val="00A060F2"/>
    <w:rsid w:val="00A06789"/>
    <w:rsid w:val="00A10E03"/>
    <w:rsid w:val="00A11E05"/>
    <w:rsid w:val="00A15FF6"/>
    <w:rsid w:val="00A1769D"/>
    <w:rsid w:val="00A203C2"/>
    <w:rsid w:val="00A2324E"/>
    <w:rsid w:val="00A25BB3"/>
    <w:rsid w:val="00A32162"/>
    <w:rsid w:val="00A3261F"/>
    <w:rsid w:val="00A3527C"/>
    <w:rsid w:val="00A36FFB"/>
    <w:rsid w:val="00A402A2"/>
    <w:rsid w:val="00A4072E"/>
    <w:rsid w:val="00A40C9C"/>
    <w:rsid w:val="00A424FD"/>
    <w:rsid w:val="00A42ED3"/>
    <w:rsid w:val="00A44CE3"/>
    <w:rsid w:val="00A46C9D"/>
    <w:rsid w:val="00A47A90"/>
    <w:rsid w:val="00A50C78"/>
    <w:rsid w:val="00A5704D"/>
    <w:rsid w:val="00A60E76"/>
    <w:rsid w:val="00A6109B"/>
    <w:rsid w:val="00A614C0"/>
    <w:rsid w:val="00A61789"/>
    <w:rsid w:val="00A61A11"/>
    <w:rsid w:val="00A67309"/>
    <w:rsid w:val="00A67827"/>
    <w:rsid w:val="00A67DCA"/>
    <w:rsid w:val="00A70CCB"/>
    <w:rsid w:val="00A710EA"/>
    <w:rsid w:val="00A73DC2"/>
    <w:rsid w:val="00A75423"/>
    <w:rsid w:val="00A756F3"/>
    <w:rsid w:val="00A76F7B"/>
    <w:rsid w:val="00A776BC"/>
    <w:rsid w:val="00A80AF7"/>
    <w:rsid w:val="00A8390B"/>
    <w:rsid w:val="00A839E6"/>
    <w:rsid w:val="00A83A1E"/>
    <w:rsid w:val="00A8477E"/>
    <w:rsid w:val="00A84B9C"/>
    <w:rsid w:val="00A8667E"/>
    <w:rsid w:val="00A87A86"/>
    <w:rsid w:val="00A90549"/>
    <w:rsid w:val="00A913F1"/>
    <w:rsid w:val="00A9178E"/>
    <w:rsid w:val="00A9218C"/>
    <w:rsid w:val="00A9552F"/>
    <w:rsid w:val="00A95E66"/>
    <w:rsid w:val="00AA0002"/>
    <w:rsid w:val="00AA35A8"/>
    <w:rsid w:val="00AA4FC5"/>
    <w:rsid w:val="00AA65B4"/>
    <w:rsid w:val="00AB14C4"/>
    <w:rsid w:val="00AB14EE"/>
    <w:rsid w:val="00AB2542"/>
    <w:rsid w:val="00AB34FA"/>
    <w:rsid w:val="00AB41B1"/>
    <w:rsid w:val="00AB4450"/>
    <w:rsid w:val="00AB47FA"/>
    <w:rsid w:val="00AC035A"/>
    <w:rsid w:val="00AC1E71"/>
    <w:rsid w:val="00AC5837"/>
    <w:rsid w:val="00AD4D15"/>
    <w:rsid w:val="00AD629A"/>
    <w:rsid w:val="00AD7921"/>
    <w:rsid w:val="00AE0242"/>
    <w:rsid w:val="00AE13AD"/>
    <w:rsid w:val="00AE1C8E"/>
    <w:rsid w:val="00AE2591"/>
    <w:rsid w:val="00AE600D"/>
    <w:rsid w:val="00AE617F"/>
    <w:rsid w:val="00AE73C4"/>
    <w:rsid w:val="00AE7C76"/>
    <w:rsid w:val="00AF0254"/>
    <w:rsid w:val="00AF0349"/>
    <w:rsid w:val="00AF1CB6"/>
    <w:rsid w:val="00AF4444"/>
    <w:rsid w:val="00AF461C"/>
    <w:rsid w:val="00AF4DE6"/>
    <w:rsid w:val="00AF6ECC"/>
    <w:rsid w:val="00B00025"/>
    <w:rsid w:val="00B00A39"/>
    <w:rsid w:val="00B00CFF"/>
    <w:rsid w:val="00B0131D"/>
    <w:rsid w:val="00B01523"/>
    <w:rsid w:val="00B04422"/>
    <w:rsid w:val="00B05138"/>
    <w:rsid w:val="00B06840"/>
    <w:rsid w:val="00B073CC"/>
    <w:rsid w:val="00B117F1"/>
    <w:rsid w:val="00B11A1C"/>
    <w:rsid w:val="00B1320B"/>
    <w:rsid w:val="00B1393F"/>
    <w:rsid w:val="00B1399D"/>
    <w:rsid w:val="00B1443B"/>
    <w:rsid w:val="00B14E2C"/>
    <w:rsid w:val="00B14F8B"/>
    <w:rsid w:val="00B15293"/>
    <w:rsid w:val="00B15A1C"/>
    <w:rsid w:val="00B17139"/>
    <w:rsid w:val="00B17754"/>
    <w:rsid w:val="00B20671"/>
    <w:rsid w:val="00B20701"/>
    <w:rsid w:val="00B2090F"/>
    <w:rsid w:val="00B212D2"/>
    <w:rsid w:val="00B21AF6"/>
    <w:rsid w:val="00B21EBF"/>
    <w:rsid w:val="00B238DF"/>
    <w:rsid w:val="00B279AC"/>
    <w:rsid w:val="00B30E62"/>
    <w:rsid w:val="00B311BE"/>
    <w:rsid w:val="00B31659"/>
    <w:rsid w:val="00B357BA"/>
    <w:rsid w:val="00B35B80"/>
    <w:rsid w:val="00B361EE"/>
    <w:rsid w:val="00B3626F"/>
    <w:rsid w:val="00B401D2"/>
    <w:rsid w:val="00B40AF2"/>
    <w:rsid w:val="00B43121"/>
    <w:rsid w:val="00B43CE0"/>
    <w:rsid w:val="00B470D4"/>
    <w:rsid w:val="00B51768"/>
    <w:rsid w:val="00B523ED"/>
    <w:rsid w:val="00B534F5"/>
    <w:rsid w:val="00B541BB"/>
    <w:rsid w:val="00B5598A"/>
    <w:rsid w:val="00B60254"/>
    <w:rsid w:val="00B60938"/>
    <w:rsid w:val="00B62953"/>
    <w:rsid w:val="00B637EF"/>
    <w:rsid w:val="00B63FD2"/>
    <w:rsid w:val="00B66856"/>
    <w:rsid w:val="00B70746"/>
    <w:rsid w:val="00B72684"/>
    <w:rsid w:val="00B7543F"/>
    <w:rsid w:val="00B75CD8"/>
    <w:rsid w:val="00B75FCD"/>
    <w:rsid w:val="00B7772F"/>
    <w:rsid w:val="00B877D6"/>
    <w:rsid w:val="00B919CA"/>
    <w:rsid w:val="00B91E8B"/>
    <w:rsid w:val="00B923CC"/>
    <w:rsid w:val="00B9465D"/>
    <w:rsid w:val="00B95AF3"/>
    <w:rsid w:val="00B9666A"/>
    <w:rsid w:val="00B96BB9"/>
    <w:rsid w:val="00B96D85"/>
    <w:rsid w:val="00BA013D"/>
    <w:rsid w:val="00BA0E07"/>
    <w:rsid w:val="00BA1A1E"/>
    <w:rsid w:val="00BA1EA2"/>
    <w:rsid w:val="00BA2973"/>
    <w:rsid w:val="00BA3478"/>
    <w:rsid w:val="00BA49D0"/>
    <w:rsid w:val="00BA6009"/>
    <w:rsid w:val="00BA6254"/>
    <w:rsid w:val="00BA66C4"/>
    <w:rsid w:val="00BA73EB"/>
    <w:rsid w:val="00BA7498"/>
    <w:rsid w:val="00BB3BD4"/>
    <w:rsid w:val="00BB4E54"/>
    <w:rsid w:val="00BB6011"/>
    <w:rsid w:val="00BC1F1D"/>
    <w:rsid w:val="00BD2AAF"/>
    <w:rsid w:val="00BD4D4C"/>
    <w:rsid w:val="00BD678A"/>
    <w:rsid w:val="00BD7913"/>
    <w:rsid w:val="00BE145D"/>
    <w:rsid w:val="00BE28B6"/>
    <w:rsid w:val="00BE541E"/>
    <w:rsid w:val="00BE62DE"/>
    <w:rsid w:val="00BE7969"/>
    <w:rsid w:val="00BF0312"/>
    <w:rsid w:val="00BF0641"/>
    <w:rsid w:val="00BF074F"/>
    <w:rsid w:val="00BF4172"/>
    <w:rsid w:val="00BF7571"/>
    <w:rsid w:val="00C003EC"/>
    <w:rsid w:val="00C024B8"/>
    <w:rsid w:val="00C02EE8"/>
    <w:rsid w:val="00C03FA1"/>
    <w:rsid w:val="00C04D9B"/>
    <w:rsid w:val="00C05A37"/>
    <w:rsid w:val="00C05B53"/>
    <w:rsid w:val="00C111F9"/>
    <w:rsid w:val="00C12AF5"/>
    <w:rsid w:val="00C13A4D"/>
    <w:rsid w:val="00C14258"/>
    <w:rsid w:val="00C16E26"/>
    <w:rsid w:val="00C17807"/>
    <w:rsid w:val="00C17AC6"/>
    <w:rsid w:val="00C22273"/>
    <w:rsid w:val="00C229B9"/>
    <w:rsid w:val="00C23CD2"/>
    <w:rsid w:val="00C25830"/>
    <w:rsid w:val="00C26AAE"/>
    <w:rsid w:val="00C26E83"/>
    <w:rsid w:val="00C279A2"/>
    <w:rsid w:val="00C32E5D"/>
    <w:rsid w:val="00C402D8"/>
    <w:rsid w:val="00C40D06"/>
    <w:rsid w:val="00C4788C"/>
    <w:rsid w:val="00C500F6"/>
    <w:rsid w:val="00C51D12"/>
    <w:rsid w:val="00C52813"/>
    <w:rsid w:val="00C5385D"/>
    <w:rsid w:val="00C553B9"/>
    <w:rsid w:val="00C632E1"/>
    <w:rsid w:val="00C64B53"/>
    <w:rsid w:val="00C67207"/>
    <w:rsid w:val="00C70650"/>
    <w:rsid w:val="00C71E74"/>
    <w:rsid w:val="00C72583"/>
    <w:rsid w:val="00C737FB"/>
    <w:rsid w:val="00C74B4B"/>
    <w:rsid w:val="00C765CB"/>
    <w:rsid w:val="00C77AC8"/>
    <w:rsid w:val="00C8303D"/>
    <w:rsid w:val="00C85E8C"/>
    <w:rsid w:val="00C86A0F"/>
    <w:rsid w:val="00C91411"/>
    <w:rsid w:val="00C919E3"/>
    <w:rsid w:val="00C94AC6"/>
    <w:rsid w:val="00C976DF"/>
    <w:rsid w:val="00CA3025"/>
    <w:rsid w:val="00CA5ADF"/>
    <w:rsid w:val="00CA64B4"/>
    <w:rsid w:val="00CA735A"/>
    <w:rsid w:val="00CB1642"/>
    <w:rsid w:val="00CB18D5"/>
    <w:rsid w:val="00CB2401"/>
    <w:rsid w:val="00CB2F2E"/>
    <w:rsid w:val="00CB4DE1"/>
    <w:rsid w:val="00CC2DA9"/>
    <w:rsid w:val="00CC465D"/>
    <w:rsid w:val="00CC55A7"/>
    <w:rsid w:val="00CC5D47"/>
    <w:rsid w:val="00CC6DB3"/>
    <w:rsid w:val="00CD10BF"/>
    <w:rsid w:val="00CD1F6B"/>
    <w:rsid w:val="00CD24C9"/>
    <w:rsid w:val="00CD4C01"/>
    <w:rsid w:val="00CD61C7"/>
    <w:rsid w:val="00CE02FD"/>
    <w:rsid w:val="00CE0EF4"/>
    <w:rsid w:val="00CE229F"/>
    <w:rsid w:val="00CF12DF"/>
    <w:rsid w:val="00CF188E"/>
    <w:rsid w:val="00CF1DCA"/>
    <w:rsid w:val="00CF1F2C"/>
    <w:rsid w:val="00CF670E"/>
    <w:rsid w:val="00CF7A4E"/>
    <w:rsid w:val="00D00382"/>
    <w:rsid w:val="00D03EBE"/>
    <w:rsid w:val="00D045E0"/>
    <w:rsid w:val="00D05094"/>
    <w:rsid w:val="00D123D9"/>
    <w:rsid w:val="00D13279"/>
    <w:rsid w:val="00D13535"/>
    <w:rsid w:val="00D156E1"/>
    <w:rsid w:val="00D17EE4"/>
    <w:rsid w:val="00D20107"/>
    <w:rsid w:val="00D21742"/>
    <w:rsid w:val="00D22270"/>
    <w:rsid w:val="00D23208"/>
    <w:rsid w:val="00D236CE"/>
    <w:rsid w:val="00D2572F"/>
    <w:rsid w:val="00D258C3"/>
    <w:rsid w:val="00D25DD5"/>
    <w:rsid w:val="00D35A39"/>
    <w:rsid w:val="00D36161"/>
    <w:rsid w:val="00D3665C"/>
    <w:rsid w:val="00D36EA9"/>
    <w:rsid w:val="00D4057C"/>
    <w:rsid w:val="00D413C7"/>
    <w:rsid w:val="00D43B16"/>
    <w:rsid w:val="00D452B3"/>
    <w:rsid w:val="00D4588A"/>
    <w:rsid w:val="00D45CBB"/>
    <w:rsid w:val="00D463CA"/>
    <w:rsid w:val="00D46FDF"/>
    <w:rsid w:val="00D4706A"/>
    <w:rsid w:val="00D47E7C"/>
    <w:rsid w:val="00D50076"/>
    <w:rsid w:val="00D5029F"/>
    <w:rsid w:val="00D514FB"/>
    <w:rsid w:val="00D51DA6"/>
    <w:rsid w:val="00D53219"/>
    <w:rsid w:val="00D53541"/>
    <w:rsid w:val="00D57285"/>
    <w:rsid w:val="00D57A06"/>
    <w:rsid w:val="00D57C0E"/>
    <w:rsid w:val="00D64222"/>
    <w:rsid w:val="00D6468A"/>
    <w:rsid w:val="00D667CF"/>
    <w:rsid w:val="00D669A1"/>
    <w:rsid w:val="00D66A62"/>
    <w:rsid w:val="00D67D1D"/>
    <w:rsid w:val="00D72CB7"/>
    <w:rsid w:val="00D732D8"/>
    <w:rsid w:val="00D73EAE"/>
    <w:rsid w:val="00D742AF"/>
    <w:rsid w:val="00D75069"/>
    <w:rsid w:val="00D75D26"/>
    <w:rsid w:val="00D80589"/>
    <w:rsid w:val="00D82F12"/>
    <w:rsid w:val="00D871CD"/>
    <w:rsid w:val="00D879B4"/>
    <w:rsid w:val="00D91FF6"/>
    <w:rsid w:val="00D924FE"/>
    <w:rsid w:val="00D9416F"/>
    <w:rsid w:val="00D94E71"/>
    <w:rsid w:val="00D950ED"/>
    <w:rsid w:val="00D97FE9"/>
    <w:rsid w:val="00DA0B50"/>
    <w:rsid w:val="00DA192D"/>
    <w:rsid w:val="00DA1AD8"/>
    <w:rsid w:val="00DA4890"/>
    <w:rsid w:val="00DA4B00"/>
    <w:rsid w:val="00DA6187"/>
    <w:rsid w:val="00DB0961"/>
    <w:rsid w:val="00DB101A"/>
    <w:rsid w:val="00DB2019"/>
    <w:rsid w:val="00DB3DB9"/>
    <w:rsid w:val="00DB6B74"/>
    <w:rsid w:val="00DB6BAA"/>
    <w:rsid w:val="00DB7D0E"/>
    <w:rsid w:val="00DC08EF"/>
    <w:rsid w:val="00DC143F"/>
    <w:rsid w:val="00DC277B"/>
    <w:rsid w:val="00DC5AEC"/>
    <w:rsid w:val="00DC766B"/>
    <w:rsid w:val="00DC7B25"/>
    <w:rsid w:val="00DD09C7"/>
    <w:rsid w:val="00DD19F4"/>
    <w:rsid w:val="00DD2E4E"/>
    <w:rsid w:val="00DD2E55"/>
    <w:rsid w:val="00DD32CD"/>
    <w:rsid w:val="00DD5EF8"/>
    <w:rsid w:val="00DD5EF9"/>
    <w:rsid w:val="00DD74A4"/>
    <w:rsid w:val="00DD7DD7"/>
    <w:rsid w:val="00DE0469"/>
    <w:rsid w:val="00DE1443"/>
    <w:rsid w:val="00DE2CB6"/>
    <w:rsid w:val="00DE2DFE"/>
    <w:rsid w:val="00DE31AC"/>
    <w:rsid w:val="00DE49DC"/>
    <w:rsid w:val="00DF032B"/>
    <w:rsid w:val="00DF132A"/>
    <w:rsid w:val="00DF275B"/>
    <w:rsid w:val="00DF68E1"/>
    <w:rsid w:val="00DF70F4"/>
    <w:rsid w:val="00E05757"/>
    <w:rsid w:val="00E0647C"/>
    <w:rsid w:val="00E07B74"/>
    <w:rsid w:val="00E1380C"/>
    <w:rsid w:val="00E141CF"/>
    <w:rsid w:val="00E14AB3"/>
    <w:rsid w:val="00E22577"/>
    <w:rsid w:val="00E3538C"/>
    <w:rsid w:val="00E3540F"/>
    <w:rsid w:val="00E402AA"/>
    <w:rsid w:val="00E40D5E"/>
    <w:rsid w:val="00E426A4"/>
    <w:rsid w:val="00E44945"/>
    <w:rsid w:val="00E44C81"/>
    <w:rsid w:val="00E46B14"/>
    <w:rsid w:val="00E472B1"/>
    <w:rsid w:val="00E47FD1"/>
    <w:rsid w:val="00E501DF"/>
    <w:rsid w:val="00E512BC"/>
    <w:rsid w:val="00E52282"/>
    <w:rsid w:val="00E52E3F"/>
    <w:rsid w:val="00E54575"/>
    <w:rsid w:val="00E556CC"/>
    <w:rsid w:val="00E560C0"/>
    <w:rsid w:val="00E5775C"/>
    <w:rsid w:val="00E57EA9"/>
    <w:rsid w:val="00E61797"/>
    <w:rsid w:val="00E61BEF"/>
    <w:rsid w:val="00E61F85"/>
    <w:rsid w:val="00E654D8"/>
    <w:rsid w:val="00E67D11"/>
    <w:rsid w:val="00E7492F"/>
    <w:rsid w:val="00E74A46"/>
    <w:rsid w:val="00E74D43"/>
    <w:rsid w:val="00E75808"/>
    <w:rsid w:val="00E76664"/>
    <w:rsid w:val="00E826E9"/>
    <w:rsid w:val="00E86637"/>
    <w:rsid w:val="00E8731C"/>
    <w:rsid w:val="00E9072C"/>
    <w:rsid w:val="00E95521"/>
    <w:rsid w:val="00E9666D"/>
    <w:rsid w:val="00E97139"/>
    <w:rsid w:val="00E974E9"/>
    <w:rsid w:val="00EA04F9"/>
    <w:rsid w:val="00EA1A9D"/>
    <w:rsid w:val="00EA5C84"/>
    <w:rsid w:val="00EA6B71"/>
    <w:rsid w:val="00EA7196"/>
    <w:rsid w:val="00EA768B"/>
    <w:rsid w:val="00EB230F"/>
    <w:rsid w:val="00EB4180"/>
    <w:rsid w:val="00EB4806"/>
    <w:rsid w:val="00EB5CB3"/>
    <w:rsid w:val="00EB676F"/>
    <w:rsid w:val="00EC312B"/>
    <w:rsid w:val="00EC6EDF"/>
    <w:rsid w:val="00ED23D5"/>
    <w:rsid w:val="00ED35BE"/>
    <w:rsid w:val="00ED3E69"/>
    <w:rsid w:val="00ED4EA9"/>
    <w:rsid w:val="00EE0F32"/>
    <w:rsid w:val="00EE1222"/>
    <w:rsid w:val="00EE12E7"/>
    <w:rsid w:val="00EE35CA"/>
    <w:rsid w:val="00EE4862"/>
    <w:rsid w:val="00EE6B3D"/>
    <w:rsid w:val="00EE6D72"/>
    <w:rsid w:val="00EF07B1"/>
    <w:rsid w:val="00EF0E23"/>
    <w:rsid w:val="00EF1855"/>
    <w:rsid w:val="00EF197F"/>
    <w:rsid w:val="00EF1B9B"/>
    <w:rsid w:val="00EF202D"/>
    <w:rsid w:val="00EF3CE7"/>
    <w:rsid w:val="00EF68D6"/>
    <w:rsid w:val="00EF6F05"/>
    <w:rsid w:val="00F008D0"/>
    <w:rsid w:val="00F00DCB"/>
    <w:rsid w:val="00F03770"/>
    <w:rsid w:val="00F03D5B"/>
    <w:rsid w:val="00F046E8"/>
    <w:rsid w:val="00F04726"/>
    <w:rsid w:val="00F04D07"/>
    <w:rsid w:val="00F07261"/>
    <w:rsid w:val="00F10014"/>
    <w:rsid w:val="00F10599"/>
    <w:rsid w:val="00F14C6E"/>
    <w:rsid w:val="00F15641"/>
    <w:rsid w:val="00F2243C"/>
    <w:rsid w:val="00F232A6"/>
    <w:rsid w:val="00F25969"/>
    <w:rsid w:val="00F260D8"/>
    <w:rsid w:val="00F30236"/>
    <w:rsid w:val="00F34AB1"/>
    <w:rsid w:val="00F35B5A"/>
    <w:rsid w:val="00F378AF"/>
    <w:rsid w:val="00F42B66"/>
    <w:rsid w:val="00F454B9"/>
    <w:rsid w:val="00F46047"/>
    <w:rsid w:val="00F46841"/>
    <w:rsid w:val="00F46F22"/>
    <w:rsid w:val="00F47C71"/>
    <w:rsid w:val="00F5223C"/>
    <w:rsid w:val="00F526DF"/>
    <w:rsid w:val="00F5286B"/>
    <w:rsid w:val="00F54678"/>
    <w:rsid w:val="00F555A7"/>
    <w:rsid w:val="00F6026E"/>
    <w:rsid w:val="00F60BF4"/>
    <w:rsid w:val="00F61A00"/>
    <w:rsid w:val="00F61C99"/>
    <w:rsid w:val="00F62C17"/>
    <w:rsid w:val="00F63BA2"/>
    <w:rsid w:val="00F64762"/>
    <w:rsid w:val="00F65F94"/>
    <w:rsid w:val="00F66FA3"/>
    <w:rsid w:val="00F671A6"/>
    <w:rsid w:val="00F67D29"/>
    <w:rsid w:val="00F70E6A"/>
    <w:rsid w:val="00F73CF2"/>
    <w:rsid w:val="00F75D44"/>
    <w:rsid w:val="00F80F52"/>
    <w:rsid w:val="00F83963"/>
    <w:rsid w:val="00F8450A"/>
    <w:rsid w:val="00F854A5"/>
    <w:rsid w:val="00F862B5"/>
    <w:rsid w:val="00F86A81"/>
    <w:rsid w:val="00F8739B"/>
    <w:rsid w:val="00F87A1B"/>
    <w:rsid w:val="00F915A6"/>
    <w:rsid w:val="00F92DD4"/>
    <w:rsid w:val="00F941D2"/>
    <w:rsid w:val="00F95306"/>
    <w:rsid w:val="00FA1593"/>
    <w:rsid w:val="00FA20EF"/>
    <w:rsid w:val="00FA2B14"/>
    <w:rsid w:val="00FA36B6"/>
    <w:rsid w:val="00FA3F53"/>
    <w:rsid w:val="00FA5DAE"/>
    <w:rsid w:val="00FB0DA5"/>
    <w:rsid w:val="00FB7B02"/>
    <w:rsid w:val="00FB7EB5"/>
    <w:rsid w:val="00FC1CBB"/>
    <w:rsid w:val="00FC39EF"/>
    <w:rsid w:val="00FC5E08"/>
    <w:rsid w:val="00FC7986"/>
    <w:rsid w:val="00FD0A60"/>
    <w:rsid w:val="00FD4135"/>
    <w:rsid w:val="00FD710F"/>
    <w:rsid w:val="00FE02D2"/>
    <w:rsid w:val="00FE0E83"/>
    <w:rsid w:val="00FE1563"/>
    <w:rsid w:val="00FE569F"/>
    <w:rsid w:val="00FE5796"/>
    <w:rsid w:val="00FF07B6"/>
    <w:rsid w:val="00FF22B4"/>
    <w:rsid w:val="00FF35FC"/>
    <w:rsid w:val="00FF4DF1"/>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 w:type="character" w:customStyle="1" w:styleId="fontstyle01">
    <w:name w:val="fontstyle01"/>
    <w:basedOn w:val="a0"/>
    <w:rsid w:val="00CB2F2E"/>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6CD2-F33D-4751-A72E-F41EF1D7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50410</Words>
  <Characters>28734</Characters>
  <Application>Microsoft Office Word</Application>
  <DocSecurity>0</DocSecurity>
  <Lines>239</Lines>
  <Paragraphs>157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6</cp:revision>
  <cp:lastPrinted>2025-05-14T11:31:00Z</cp:lastPrinted>
  <dcterms:created xsi:type="dcterms:W3CDTF">2025-09-12T12:24:00Z</dcterms:created>
  <dcterms:modified xsi:type="dcterms:W3CDTF">2025-09-15T06:09:00Z</dcterms:modified>
</cp:coreProperties>
</file>