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3751" w14:textId="3CD5D01E" w:rsidR="009F4687" w:rsidRPr="009E4EEF" w:rsidRDefault="009F4687" w:rsidP="009E4EEF">
      <w:pPr>
        <w:spacing w:after="0" w:line="240" w:lineRule="auto"/>
        <w:ind w:left="4517" w:right="4200"/>
        <w:rPr>
          <w:rFonts w:ascii="Times New Roman" w:eastAsia="Times New Roman" w:hAnsi="Times New Roman" w:cs="Times New Roman"/>
          <w:sz w:val="24"/>
          <w:szCs w:val="24"/>
          <w:lang w:eastAsia="uk-UA"/>
        </w:rPr>
      </w:pPr>
      <w:r w:rsidRPr="009E4EEF">
        <w:rPr>
          <w:rFonts w:ascii="Times New Roman" w:eastAsia="Times New Roman" w:hAnsi="Times New Roman" w:cs="Times New Roman"/>
          <w:noProof/>
          <w:color w:val="000000"/>
          <w:sz w:val="24"/>
          <w:szCs w:val="24"/>
          <w:bdr w:val="none" w:sz="0" w:space="0" w:color="auto" w:frame="1"/>
          <w:lang w:eastAsia="uk-UA"/>
        </w:rPr>
        <w:drawing>
          <wp:inline distT="0" distB="0" distL="0" distR="0" wp14:anchorId="68C34176" wp14:editId="15BADDA5">
            <wp:extent cx="542925" cy="714375"/>
            <wp:effectExtent l="0" t="0" r="9525" b="9525"/>
            <wp:docPr id="1"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675DE40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1801FD4C" w14:textId="77777777" w:rsidR="009F4687" w:rsidRPr="000D7914" w:rsidRDefault="009F4687" w:rsidP="009E4EEF">
      <w:pPr>
        <w:spacing w:after="0" w:line="240" w:lineRule="auto"/>
        <w:ind w:right="57"/>
        <w:jc w:val="center"/>
        <w:rPr>
          <w:rFonts w:ascii="Times New Roman" w:eastAsia="Times New Roman" w:hAnsi="Times New Roman" w:cs="Times New Roman"/>
          <w:sz w:val="36"/>
          <w:szCs w:val="36"/>
          <w:lang w:eastAsia="uk-UA"/>
        </w:rPr>
      </w:pPr>
      <w:r w:rsidRPr="000D7914">
        <w:rPr>
          <w:rFonts w:ascii="Times New Roman" w:eastAsia="Times New Roman" w:hAnsi="Times New Roman" w:cs="Times New Roman"/>
          <w:color w:val="000000"/>
          <w:sz w:val="36"/>
          <w:szCs w:val="36"/>
          <w:lang w:eastAsia="uk-UA"/>
        </w:rPr>
        <w:t>ВИЩА КВАЛІФІКАЦІЙНА КОМІСІЯ СУДДІВ УКРАЇНИ</w:t>
      </w:r>
    </w:p>
    <w:p w14:paraId="1F5EFFCA"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1A879E2F" w14:textId="74D10F83"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13 травня 2025 року</w:t>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t xml:space="preserve">час: </w:t>
      </w:r>
      <w:r w:rsidR="005522F6">
        <w:rPr>
          <w:rFonts w:ascii="Times New Roman" w:eastAsia="Times New Roman" w:hAnsi="Times New Roman" w:cs="Times New Roman"/>
          <w:color w:val="000000"/>
          <w:sz w:val="24"/>
          <w:szCs w:val="24"/>
          <w:lang w:eastAsia="uk-UA"/>
        </w:rPr>
        <w:t>18:27</w:t>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t xml:space="preserve"> м. Київ</w:t>
      </w:r>
    </w:p>
    <w:p w14:paraId="5FCC3495"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380A2B38" w14:textId="2A68930B" w:rsidR="009F4687" w:rsidRPr="009E4EEF" w:rsidRDefault="009F4687" w:rsidP="009E4EEF">
      <w:pPr>
        <w:shd w:val="clear" w:color="auto" w:fill="FFFFFF"/>
        <w:spacing w:after="0" w:line="240" w:lineRule="auto"/>
        <w:ind w:right="134"/>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 xml:space="preserve">Р І Ш Е Н </w:t>
      </w:r>
      <w:proofErr w:type="spellStart"/>
      <w:r w:rsidRPr="009E4EEF">
        <w:rPr>
          <w:rFonts w:ascii="Times New Roman" w:eastAsia="Times New Roman" w:hAnsi="Times New Roman" w:cs="Times New Roman"/>
          <w:color w:val="000000"/>
          <w:sz w:val="24"/>
          <w:szCs w:val="24"/>
          <w:lang w:eastAsia="uk-UA"/>
        </w:rPr>
        <w:t>Н</w:t>
      </w:r>
      <w:proofErr w:type="spellEnd"/>
      <w:r w:rsidRPr="009E4EEF">
        <w:rPr>
          <w:rFonts w:ascii="Times New Roman" w:eastAsia="Times New Roman" w:hAnsi="Times New Roman" w:cs="Times New Roman"/>
          <w:color w:val="000000"/>
          <w:sz w:val="24"/>
          <w:szCs w:val="24"/>
          <w:lang w:eastAsia="uk-UA"/>
        </w:rPr>
        <w:t xml:space="preserve"> Я</w:t>
      </w:r>
      <w:r w:rsidR="00970E4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 № </w:t>
      </w:r>
      <w:r w:rsidR="00970E47" w:rsidRPr="00970E47">
        <w:rPr>
          <w:rFonts w:ascii="Times New Roman" w:eastAsia="Times New Roman" w:hAnsi="Times New Roman" w:cs="Times New Roman"/>
          <w:color w:val="000000"/>
          <w:sz w:val="24"/>
          <w:szCs w:val="24"/>
          <w:u w:val="single"/>
          <w:lang w:eastAsia="uk-UA"/>
        </w:rPr>
        <w:t>23/ас-25</w:t>
      </w:r>
    </w:p>
    <w:p w14:paraId="7928DD2E"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2FBA25BF"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Вища кваліфікаційна комісія суддів України у складі Першої палати:</w:t>
      </w:r>
    </w:p>
    <w:p w14:paraId="1346E9EE" w14:textId="77777777" w:rsidR="009F4687" w:rsidRPr="009E4EEF" w:rsidRDefault="009F4687" w:rsidP="009E4EEF">
      <w:pPr>
        <w:shd w:val="clear" w:color="auto" w:fill="FFFFFF"/>
        <w:spacing w:after="0" w:line="240" w:lineRule="auto"/>
        <w:ind w:right="134"/>
        <w:jc w:val="both"/>
        <w:rPr>
          <w:rFonts w:ascii="Times New Roman" w:eastAsia="Times New Roman" w:hAnsi="Times New Roman" w:cs="Times New Roman"/>
          <w:sz w:val="24"/>
          <w:szCs w:val="24"/>
          <w:lang w:eastAsia="uk-UA"/>
        </w:rPr>
      </w:pPr>
    </w:p>
    <w:p w14:paraId="22890543"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головуючого – Руслана СИДОРОВИЧА,</w:t>
      </w:r>
    </w:p>
    <w:p w14:paraId="7D9B9ED9" w14:textId="77777777" w:rsidR="009F4687" w:rsidRPr="009E4EEF" w:rsidRDefault="009F4687" w:rsidP="009E4EEF">
      <w:pPr>
        <w:shd w:val="clear" w:color="auto" w:fill="FFFFFF"/>
        <w:spacing w:after="0" w:line="240" w:lineRule="auto"/>
        <w:ind w:right="-15"/>
        <w:jc w:val="both"/>
        <w:rPr>
          <w:rFonts w:ascii="Times New Roman" w:eastAsia="Times New Roman" w:hAnsi="Times New Roman" w:cs="Times New Roman"/>
          <w:sz w:val="24"/>
          <w:szCs w:val="24"/>
          <w:lang w:eastAsia="uk-UA"/>
        </w:rPr>
      </w:pPr>
    </w:p>
    <w:p w14:paraId="5629DDEC" w14:textId="77777777" w:rsidR="009F4687" w:rsidRPr="009E4EEF" w:rsidRDefault="009F4687" w:rsidP="009E4EEF">
      <w:pPr>
        <w:shd w:val="clear" w:color="auto" w:fill="FFFFFF"/>
        <w:spacing w:after="0" w:line="240" w:lineRule="auto"/>
        <w:ind w:right="-15"/>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членів Комісії: Ярослава ДУХА, Романа КИДИСЮКА, Олега КОЛІУША, Романа САБОДАША (доповідач), </w:t>
      </w:r>
    </w:p>
    <w:p w14:paraId="1F338093" w14:textId="77777777" w:rsidR="009F4687" w:rsidRPr="00F02CA8" w:rsidRDefault="009F4687" w:rsidP="009E4EEF">
      <w:pPr>
        <w:shd w:val="clear" w:color="auto" w:fill="FFFFFF"/>
        <w:spacing w:after="0" w:line="240" w:lineRule="auto"/>
        <w:ind w:right="-15"/>
        <w:jc w:val="both"/>
        <w:rPr>
          <w:rFonts w:ascii="Times New Roman" w:eastAsia="Times New Roman" w:hAnsi="Times New Roman" w:cs="Times New Roman"/>
          <w:sz w:val="16"/>
          <w:szCs w:val="16"/>
          <w:lang w:eastAsia="uk-UA"/>
        </w:rPr>
      </w:pPr>
    </w:p>
    <w:p w14:paraId="15D85914" w14:textId="77777777" w:rsidR="009F4687" w:rsidRPr="009E4EEF" w:rsidRDefault="009F4687" w:rsidP="009E4EEF">
      <w:pPr>
        <w:shd w:val="clear" w:color="auto" w:fill="FFFFFF"/>
        <w:spacing w:after="0" w:line="240" w:lineRule="auto"/>
        <w:ind w:right="-15"/>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за участі: </w:t>
      </w:r>
    </w:p>
    <w:p w14:paraId="27DE074B" w14:textId="77777777" w:rsidR="009F4687" w:rsidRPr="00F02CA8" w:rsidRDefault="009F4687" w:rsidP="009E4EEF">
      <w:pPr>
        <w:shd w:val="clear" w:color="auto" w:fill="FFFFFF"/>
        <w:spacing w:after="0" w:line="240" w:lineRule="auto"/>
        <w:ind w:right="-15"/>
        <w:jc w:val="both"/>
        <w:rPr>
          <w:rFonts w:ascii="Times New Roman" w:eastAsia="Times New Roman" w:hAnsi="Times New Roman" w:cs="Times New Roman"/>
          <w:sz w:val="16"/>
          <w:szCs w:val="16"/>
          <w:lang w:eastAsia="uk-UA"/>
        </w:rPr>
      </w:pPr>
    </w:p>
    <w:p w14:paraId="0BCA967A" w14:textId="1E36881D" w:rsidR="009F4687" w:rsidRPr="009E4EEF" w:rsidRDefault="009F4687" w:rsidP="009E4EEF">
      <w:pPr>
        <w:shd w:val="clear" w:color="auto" w:fill="FFFFFF"/>
        <w:spacing w:after="0" w:line="240" w:lineRule="auto"/>
        <w:ind w:right="-15"/>
        <w:jc w:val="both"/>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кандидата на посаду судді апеляційного адміністративного суду Андрія БАБАЄВА,</w:t>
      </w:r>
    </w:p>
    <w:p w14:paraId="3543D9CF" w14:textId="0707AA60" w:rsidR="004D3393" w:rsidRPr="009E4EEF" w:rsidRDefault="004D3393" w:rsidP="009E4EEF">
      <w:pPr>
        <w:shd w:val="clear" w:color="auto" w:fill="FFFFFF"/>
        <w:spacing w:after="0" w:line="240" w:lineRule="auto"/>
        <w:ind w:right="-15"/>
        <w:jc w:val="both"/>
        <w:rPr>
          <w:rFonts w:ascii="Times New Roman" w:eastAsia="Times New Roman" w:hAnsi="Times New Roman" w:cs="Times New Roman"/>
          <w:sz w:val="24"/>
          <w:szCs w:val="24"/>
          <w:lang w:eastAsia="uk-UA"/>
        </w:rPr>
      </w:pPr>
    </w:p>
    <w:p w14:paraId="4C1FE5FD" w14:textId="2D1070A4" w:rsidR="004D3393" w:rsidRPr="009E4EEF" w:rsidRDefault="004D3393" w:rsidP="009E4EEF">
      <w:pPr>
        <w:shd w:val="clear" w:color="auto" w:fill="FFFFFF"/>
        <w:spacing w:after="0" w:line="240" w:lineRule="auto"/>
        <w:ind w:right="-15"/>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sz w:val="24"/>
          <w:szCs w:val="24"/>
          <w:lang w:eastAsia="uk-UA"/>
        </w:rPr>
        <w:t xml:space="preserve">представника </w:t>
      </w:r>
      <w:r w:rsidR="00EB29E2" w:rsidRPr="009E4EEF">
        <w:rPr>
          <w:rFonts w:ascii="Times New Roman" w:eastAsia="Times New Roman" w:hAnsi="Times New Roman" w:cs="Times New Roman"/>
          <w:sz w:val="24"/>
          <w:szCs w:val="24"/>
          <w:lang w:eastAsia="uk-UA"/>
        </w:rPr>
        <w:t>Г</w:t>
      </w:r>
      <w:r w:rsidRPr="009E4EEF">
        <w:rPr>
          <w:rFonts w:ascii="Times New Roman" w:eastAsia="Times New Roman" w:hAnsi="Times New Roman" w:cs="Times New Roman"/>
          <w:sz w:val="24"/>
          <w:szCs w:val="24"/>
          <w:lang w:eastAsia="uk-UA"/>
        </w:rPr>
        <w:t xml:space="preserve">ромадської </w:t>
      </w:r>
      <w:r w:rsidR="00EB29E2" w:rsidRPr="009E4EEF">
        <w:rPr>
          <w:rFonts w:ascii="Times New Roman" w:eastAsia="Times New Roman" w:hAnsi="Times New Roman" w:cs="Times New Roman"/>
          <w:sz w:val="24"/>
          <w:szCs w:val="24"/>
          <w:lang w:eastAsia="uk-UA"/>
        </w:rPr>
        <w:t xml:space="preserve">ради доброчесності </w:t>
      </w:r>
      <w:r w:rsidR="003A0CD8" w:rsidRPr="009E4EEF">
        <w:rPr>
          <w:rFonts w:ascii="Times New Roman" w:eastAsia="Times New Roman" w:hAnsi="Times New Roman" w:cs="Times New Roman"/>
          <w:sz w:val="24"/>
          <w:szCs w:val="24"/>
          <w:lang w:eastAsia="uk-UA"/>
        </w:rPr>
        <w:t xml:space="preserve">Ольги </w:t>
      </w:r>
      <w:r w:rsidR="000B345A" w:rsidRPr="009E4EEF">
        <w:rPr>
          <w:rFonts w:ascii="Times New Roman" w:eastAsia="Times New Roman" w:hAnsi="Times New Roman" w:cs="Times New Roman"/>
          <w:sz w:val="24"/>
          <w:szCs w:val="24"/>
          <w:lang w:eastAsia="uk-UA"/>
        </w:rPr>
        <w:t>ВЕРЕТІЛЬНИК,</w:t>
      </w:r>
    </w:p>
    <w:p w14:paraId="75FB6BB5" w14:textId="77777777" w:rsidR="009F4687" w:rsidRPr="009E4EEF" w:rsidRDefault="009F4687" w:rsidP="009E4EEF">
      <w:pPr>
        <w:shd w:val="clear" w:color="auto" w:fill="FFFFFF"/>
        <w:spacing w:after="0" w:line="240" w:lineRule="auto"/>
        <w:ind w:right="-15"/>
        <w:jc w:val="both"/>
        <w:rPr>
          <w:rFonts w:ascii="Times New Roman" w:eastAsia="Times New Roman" w:hAnsi="Times New Roman" w:cs="Times New Roman"/>
          <w:sz w:val="24"/>
          <w:szCs w:val="24"/>
          <w:lang w:eastAsia="uk-UA"/>
        </w:rPr>
      </w:pPr>
    </w:p>
    <w:p w14:paraId="495FF118" w14:textId="2E1ACD58"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CE4B0B" w:rsidRPr="009E4EEF">
        <w:rPr>
          <w:rFonts w:ascii="Times New Roman" w:eastAsia="Times New Roman" w:hAnsi="Times New Roman" w:cs="Times New Roman"/>
          <w:color w:val="000000"/>
          <w:sz w:val="24"/>
          <w:szCs w:val="24"/>
          <w:lang w:eastAsia="uk-UA"/>
        </w:rPr>
        <w:t>а</w:t>
      </w:r>
      <w:r w:rsidRPr="009E4EEF">
        <w:rPr>
          <w:rFonts w:ascii="Times New Roman" w:eastAsia="Times New Roman" w:hAnsi="Times New Roman" w:cs="Times New Roman"/>
          <w:color w:val="000000"/>
          <w:sz w:val="24"/>
          <w:szCs w:val="24"/>
          <w:lang w:eastAsia="uk-UA"/>
        </w:rPr>
        <w:t xml:space="preserve"> на посад</w:t>
      </w:r>
      <w:r w:rsidR="00CE4B0B" w:rsidRPr="009E4EEF">
        <w:rPr>
          <w:rFonts w:ascii="Times New Roman" w:eastAsia="Times New Roman" w:hAnsi="Times New Roman" w:cs="Times New Roman"/>
          <w:color w:val="000000"/>
          <w:sz w:val="24"/>
          <w:szCs w:val="24"/>
          <w:lang w:eastAsia="uk-UA"/>
        </w:rPr>
        <w:t>у</w:t>
      </w:r>
      <w:r w:rsidRPr="009E4EEF">
        <w:rPr>
          <w:rFonts w:ascii="Times New Roman" w:eastAsia="Times New Roman" w:hAnsi="Times New Roman" w:cs="Times New Roman"/>
          <w:color w:val="000000"/>
          <w:sz w:val="24"/>
          <w:szCs w:val="24"/>
          <w:lang w:eastAsia="uk-UA"/>
        </w:rPr>
        <w:t xml:space="preserve"> судді апеляційн</w:t>
      </w:r>
      <w:r w:rsidR="00CE4B0B" w:rsidRPr="009E4EEF">
        <w:rPr>
          <w:rFonts w:ascii="Times New Roman" w:eastAsia="Times New Roman" w:hAnsi="Times New Roman" w:cs="Times New Roman"/>
          <w:color w:val="000000"/>
          <w:sz w:val="24"/>
          <w:szCs w:val="24"/>
          <w:lang w:eastAsia="uk-UA"/>
        </w:rPr>
        <w:t>ого</w:t>
      </w:r>
      <w:r w:rsidRPr="009E4EEF">
        <w:rPr>
          <w:rFonts w:ascii="Times New Roman" w:eastAsia="Times New Roman" w:hAnsi="Times New Roman" w:cs="Times New Roman"/>
          <w:color w:val="000000"/>
          <w:sz w:val="24"/>
          <w:szCs w:val="24"/>
          <w:lang w:eastAsia="uk-UA"/>
        </w:rPr>
        <w:t xml:space="preserve"> адміністративн</w:t>
      </w:r>
      <w:r w:rsidR="00CE4B0B" w:rsidRPr="009E4EEF">
        <w:rPr>
          <w:rFonts w:ascii="Times New Roman" w:eastAsia="Times New Roman" w:hAnsi="Times New Roman" w:cs="Times New Roman"/>
          <w:color w:val="000000"/>
          <w:sz w:val="24"/>
          <w:szCs w:val="24"/>
          <w:lang w:eastAsia="uk-UA"/>
        </w:rPr>
        <w:t>ого</w:t>
      </w:r>
      <w:r w:rsidRPr="009E4EEF">
        <w:rPr>
          <w:rFonts w:ascii="Times New Roman" w:eastAsia="Times New Roman" w:hAnsi="Times New Roman" w:cs="Times New Roman"/>
          <w:color w:val="000000"/>
          <w:sz w:val="24"/>
          <w:szCs w:val="24"/>
          <w:lang w:eastAsia="uk-UA"/>
        </w:rPr>
        <w:t xml:space="preserve"> суд</w:t>
      </w:r>
      <w:r w:rsidR="00CE4B0B" w:rsidRPr="009E4EEF">
        <w:rPr>
          <w:rFonts w:ascii="Times New Roman" w:eastAsia="Times New Roman" w:hAnsi="Times New Roman" w:cs="Times New Roman"/>
          <w:color w:val="000000"/>
          <w:sz w:val="24"/>
          <w:szCs w:val="24"/>
          <w:lang w:eastAsia="uk-UA"/>
        </w:rPr>
        <w:t>у</w:t>
      </w:r>
      <w:r w:rsidR="009A0FBB" w:rsidRPr="009E4EEF">
        <w:rPr>
          <w:rFonts w:ascii="Times New Roman" w:eastAsia="Times New Roman" w:hAnsi="Times New Roman" w:cs="Times New Roman"/>
          <w:color w:val="000000"/>
          <w:sz w:val="24"/>
          <w:szCs w:val="24"/>
          <w:lang w:eastAsia="uk-UA"/>
        </w:rPr>
        <w:t xml:space="preserve"> </w:t>
      </w:r>
      <w:proofErr w:type="spellStart"/>
      <w:r w:rsidR="009A0FBB" w:rsidRPr="009E4EEF">
        <w:rPr>
          <w:rFonts w:ascii="Times New Roman" w:eastAsia="Times New Roman" w:hAnsi="Times New Roman" w:cs="Times New Roman"/>
          <w:color w:val="000000"/>
          <w:sz w:val="24"/>
          <w:szCs w:val="24"/>
          <w:lang w:eastAsia="uk-UA"/>
        </w:rPr>
        <w:t>Бабаєва</w:t>
      </w:r>
      <w:proofErr w:type="spellEnd"/>
      <w:r w:rsidR="009A0FBB" w:rsidRPr="009E4EEF">
        <w:rPr>
          <w:rFonts w:ascii="Times New Roman" w:eastAsia="Times New Roman" w:hAnsi="Times New Roman" w:cs="Times New Roman"/>
          <w:color w:val="000000"/>
          <w:sz w:val="24"/>
          <w:szCs w:val="24"/>
          <w:lang w:eastAsia="uk-UA"/>
        </w:rPr>
        <w:t xml:space="preserve"> Андрія Івановича</w:t>
      </w:r>
      <w:r w:rsidRPr="009E4EEF">
        <w:rPr>
          <w:rFonts w:ascii="Times New Roman" w:eastAsia="Times New Roman" w:hAnsi="Times New Roman" w:cs="Times New Roman"/>
          <w:color w:val="000000"/>
          <w:sz w:val="24"/>
          <w:szCs w:val="24"/>
          <w:lang w:eastAsia="uk-UA"/>
        </w:rPr>
        <w:t xml:space="preserve"> у межах конкурсу, оголошеного рішенням Комісії від</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14</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вересня 2023 року № 94/зп-23 (зі змінами), </w:t>
      </w:r>
    </w:p>
    <w:p w14:paraId="00B106C1"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225CD635" w14:textId="77777777" w:rsidR="009F4687" w:rsidRPr="009E4EEF" w:rsidRDefault="009F4687" w:rsidP="009E4EEF">
      <w:pPr>
        <w:shd w:val="clear" w:color="auto" w:fill="FFFFFF"/>
        <w:spacing w:after="0" w:line="240" w:lineRule="auto"/>
        <w:ind w:right="-15"/>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встановила:</w:t>
      </w:r>
    </w:p>
    <w:p w14:paraId="5E927CA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34C5105C"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14:paraId="07117AFB" w14:textId="4287E740"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44A7B5B1" w14:textId="5544691B"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70F21E37" w14:textId="2A89897C"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1.3</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w:t>
      </w:r>
      <w:r w:rsidRPr="009E4EEF">
        <w:rPr>
          <w:rFonts w:ascii="Times New Roman" w:eastAsia="Times New Roman" w:hAnsi="Times New Roman" w:cs="Times New Roman"/>
          <w:color w:val="000000"/>
          <w:sz w:val="24"/>
          <w:szCs w:val="24"/>
          <w:lang w:eastAsia="uk-UA"/>
        </w:rPr>
        <w:lastRenderedPageBreak/>
        <w:t>за результатами кваліфікаційного оцінювання та з урахуванням особливостей, передбачених статтею 79-3 Закону (пункт</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1.5 Положення про конкурс).</w:t>
      </w:r>
    </w:p>
    <w:p w14:paraId="137E18CC" w14:textId="77777777"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678A047A" w14:textId="796C18C2"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4DAA944" w14:textId="4352161A"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439C7397" w14:textId="77777777"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14:paraId="640B322F" w14:textId="3F26B15F"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w:t>
      </w:r>
    </w:p>
    <w:p w14:paraId="1C91161C" w14:textId="4A6F5FC1"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w:t>
      </w:r>
    </w:p>
    <w:p w14:paraId="0509EC45" w14:textId="5BCDE06D" w:rsidR="009F4687" w:rsidRPr="009E4EEF" w:rsidRDefault="009F4687" w:rsidP="009E4EE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Андрій Іванович 20 грудня 2023 року звернувся до Вищої кваліфікаційної комісії суддів України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w:t>
      </w:r>
      <w:r w:rsidR="00025FD0" w:rsidRPr="009E4EEF">
        <w:rPr>
          <w:rFonts w:ascii="Times New Roman" w:eastAsia="Times New Roman" w:hAnsi="Times New Roman" w:cs="Times New Roman"/>
          <w:color w:val="000000"/>
          <w:sz w:val="24"/>
          <w:szCs w:val="24"/>
          <w:lang w:eastAsia="uk-UA"/>
        </w:rPr>
        <w:t xml:space="preserve"> та про</w:t>
      </w:r>
      <w:r w:rsidRPr="009E4EEF">
        <w:rPr>
          <w:rFonts w:ascii="Times New Roman" w:eastAsia="Times New Roman" w:hAnsi="Times New Roman" w:cs="Times New Roman"/>
          <w:color w:val="000000"/>
          <w:sz w:val="24"/>
          <w:szCs w:val="24"/>
          <w:lang w:eastAsia="uk-UA"/>
        </w:rPr>
        <w:t xml:space="preserve"> прове</w:t>
      </w:r>
      <w:r w:rsidR="00025FD0" w:rsidRPr="009E4EEF">
        <w:rPr>
          <w:rFonts w:ascii="Times New Roman" w:eastAsia="Times New Roman" w:hAnsi="Times New Roman" w:cs="Times New Roman"/>
          <w:color w:val="000000"/>
          <w:sz w:val="24"/>
          <w:szCs w:val="24"/>
          <w:lang w:eastAsia="uk-UA"/>
        </w:rPr>
        <w:t>дення</w:t>
      </w:r>
      <w:r w:rsidRPr="009E4EEF">
        <w:rPr>
          <w:rFonts w:ascii="Times New Roman" w:eastAsia="Times New Roman" w:hAnsi="Times New Roman" w:cs="Times New Roman"/>
          <w:color w:val="000000"/>
          <w:sz w:val="24"/>
          <w:szCs w:val="24"/>
          <w:lang w:eastAsia="uk-UA"/>
        </w:rPr>
        <w:t xml:space="preserve"> стосовно нього кваліфікаційн</w:t>
      </w:r>
      <w:r w:rsidR="00025FD0" w:rsidRPr="009E4EEF">
        <w:rPr>
          <w:rFonts w:ascii="Times New Roman" w:eastAsia="Times New Roman" w:hAnsi="Times New Roman" w:cs="Times New Roman"/>
          <w:color w:val="000000"/>
          <w:sz w:val="24"/>
          <w:szCs w:val="24"/>
          <w:lang w:eastAsia="uk-UA"/>
        </w:rPr>
        <w:t>ого</w:t>
      </w:r>
      <w:r w:rsidRPr="009E4EEF">
        <w:rPr>
          <w:rFonts w:ascii="Times New Roman" w:eastAsia="Times New Roman" w:hAnsi="Times New Roman" w:cs="Times New Roman"/>
          <w:color w:val="000000"/>
          <w:sz w:val="24"/>
          <w:szCs w:val="24"/>
          <w:lang w:eastAsia="uk-UA"/>
        </w:rPr>
        <w:t xml:space="preserve"> оцінювання для підтвердження здатності здійснювати правосуддя у відповідному суді.</w:t>
      </w:r>
    </w:p>
    <w:p w14:paraId="68B9BA1A" w14:textId="7DE73FA6" w:rsidR="009F4687" w:rsidRPr="009E4EEF" w:rsidRDefault="009F4687" w:rsidP="00F02CA8">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 Вищої кваліфікаційної комісії суддів України від 04 березня 2023</w:t>
      </w:r>
      <w:r w:rsidR="00025FD0" w:rsidRPr="009E4EEF">
        <w:rPr>
          <w:rFonts w:ascii="Times New Roman" w:eastAsia="Times New Roman" w:hAnsi="Times New Roman" w:cs="Times New Roman"/>
          <w:color w:val="000000"/>
          <w:sz w:val="24"/>
          <w:szCs w:val="24"/>
          <w:lang w:eastAsia="uk-UA"/>
        </w:rPr>
        <w:t> </w:t>
      </w:r>
      <w:r w:rsidRPr="009E4EEF">
        <w:rPr>
          <w:rFonts w:ascii="Times New Roman" w:eastAsia="Times New Roman" w:hAnsi="Times New Roman" w:cs="Times New Roman"/>
          <w:color w:val="000000"/>
          <w:sz w:val="24"/>
          <w:szCs w:val="24"/>
          <w:lang w:eastAsia="uk-UA"/>
        </w:rPr>
        <w:t xml:space="preserve">року № 147/ас-24 </w:t>
      </w:r>
      <w:proofErr w:type="spellStart"/>
      <w:r w:rsidRPr="009E4EEF">
        <w:rPr>
          <w:rFonts w:ascii="Times New Roman" w:eastAsia="Times New Roman" w:hAnsi="Times New Roman" w:cs="Times New Roman"/>
          <w:color w:val="000000"/>
          <w:sz w:val="24"/>
          <w:szCs w:val="24"/>
          <w:lang w:eastAsia="uk-UA"/>
        </w:rPr>
        <w:t>Бабаєва</w:t>
      </w:r>
      <w:proofErr w:type="spellEnd"/>
      <w:r w:rsidRPr="009E4EEF">
        <w:rPr>
          <w:rFonts w:ascii="Times New Roman" w:eastAsia="Times New Roman" w:hAnsi="Times New Roman" w:cs="Times New Roman"/>
          <w:color w:val="000000"/>
          <w:sz w:val="24"/>
          <w:szCs w:val="24"/>
          <w:lang w:eastAsia="uk-UA"/>
        </w:rPr>
        <w:t xml:space="preserve"> А.І. допущено до проходження кваліфікаційного оцінювання та участі в конкурсі на зайняття 550 вакантних посад суддів апеляційних судів.</w:t>
      </w:r>
    </w:p>
    <w:p w14:paraId="5ED12FDD" w14:textId="77777777" w:rsidR="000D7914" w:rsidRPr="00F02CA8" w:rsidRDefault="000D7914" w:rsidP="00F02CA8">
      <w:pPr>
        <w:spacing w:after="0" w:line="276" w:lineRule="auto"/>
        <w:jc w:val="both"/>
        <w:rPr>
          <w:rFonts w:ascii="Times New Roman" w:eastAsia="Times New Roman" w:hAnsi="Times New Roman" w:cs="Times New Roman"/>
          <w:b/>
          <w:bCs/>
          <w:color w:val="000000"/>
          <w:sz w:val="12"/>
          <w:szCs w:val="12"/>
          <w:lang w:eastAsia="uk-UA"/>
        </w:rPr>
      </w:pPr>
    </w:p>
    <w:p w14:paraId="382569A3" w14:textId="4A3B44F4" w:rsidR="009F4687" w:rsidRPr="009E4EEF" w:rsidRDefault="009F4687" w:rsidP="00F02CA8">
      <w:pPr>
        <w:spacing w:after="0" w:line="276"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ІІ. Основні відомості про кандидата. </w:t>
      </w:r>
    </w:p>
    <w:p w14:paraId="0E52652A" w14:textId="38B470D8" w:rsidR="009F4687" w:rsidRPr="00F02CA8" w:rsidRDefault="009F4687" w:rsidP="00F02CA8">
      <w:pPr>
        <w:spacing w:after="0" w:line="276" w:lineRule="auto"/>
        <w:rPr>
          <w:rFonts w:ascii="Times New Roman" w:eastAsia="Times New Roman" w:hAnsi="Times New Roman" w:cs="Times New Roman"/>
          <w:sz w:val="12"/>
          <w:szCs w:val="12"/>
          <w:lang w:eastAsia="uk-UA"/>
        </w:rPr>
      </w:pPr>
    </w:p>
    <w:p w14:paraId="09FFB2A9" w14:textId="0EB6BE00" w:rsidR="009F4687" w:rsidRPr="009E4EEF" w:rsidRDefault="009F4687" w:rsidP="009E4EEF">
      <w:pPr>
        <w:numPr>
          <w:ilvl w:val="0"/>
          <w:numId w:val="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w:t>
      </w:r>
      <w:r w:rsidR="009D4897">
        <w:rPr>
          <w:rFonts w:ascii="Times New Roman" w:eastAsia="Times New Roman" w:hAnsi="Times New Roman" w:cs="Times New Roman"/>
          <w:color w:val="000000"/>
          <w:sz w:val="24"/>
          <w:szCs w:val="24"/>
          <w:lang w:eastAsia="uk-UA"/>
        </w:rPr>
        <w:t>____________</w:t>
      </w:r>
      <w:r w:rsidRPr="009E4EEF">
        <w:rPr>
          <w:rFonts w:ascii="Times New Roman" w:eastAsia="Times New Roman" w:hAnsi="Times New Roman" w:cs="Times New Roman"/>
          <w:color w:val="000000"/>
          <w:sz w:val="24"/>
          <w:szCs w:val="24"/>
          <w:lang w:eastAsia="uk-UA"/>
        </w:rPr>
        <w:t xml:space="preserve"> року народження, на момент подання заяви мав повних </w:t>
      </w:r>
      <w:r w:rsidR="009D4897">
        <w:rPr>
          <w:rFonts w:ascii="Times New Roman" w:eastAsia="Times New Roman" w:hAnsi="Times New Roman" w:cs="Times New Roman"/>
          <w:color w:val="000000"/>
          <w:sz w:val="24"/>
          <w:szCs w:val="24"/>
          <w:lang w:eastAsia="uk-UA"/>
        </w:rPr>
        <w:t>___</w:t>
      </w:r>
      <w:r w:rsidRPr="009E4EEF">
        <w:rPr>
          <w:rFonts w:ascii="Times New Roman" w:eastAsia="Times New Roman" w:hAnsi="Times New Roman" w:cs="Times New Roman"/>
          <w:color w:val="000000"/>
          <w:sz w:val="24"/>
          <w:szCs w:val="24"/>
          <w:lang w:eastAsia="uk-UA"/>
        </w:rPr>
        <w:t xml:space="preserve"> роки. Є громадянином України. Володіння державною мовою підтверджено </w:t>
      </w:r>
      <w:r w:rsidRPr="009E4EEF">
        <w:rPr>
          <w:rFonts w:ascii="Times New Roman" w:eastAsia="Times New Roman" w:hAnsi="Times New Roman" w:cs="Times New Roman"/>
          <w:color w:val="000000"/>
          <w:sz w:val="24"/>
          <w:szCs w:val="24"/>
          <w:lang w:eastAsia="uk-UA"/>
        </w:rPr>
        <w:lastRenderedPageBreak/>
        <w:t>сертифікатом УМД № 00111164 від 15 лютого 2022 року на рівні вільного володіння (другий ступінь). Станом на дату проведення співбесіди кандидат є несудимим (відповідно до витягу з інформаційно-аналітичної довідки «Облік відомостей про притягнення особи до кримінальної відповідальності та наявності судимості», надано</w:t>
      </w:r>
      <w:r w:rsidR="00890DD0" w:rsidRPr="009E4EEF">
        <w:rPr>
          <w:rFonts w:ascii="Times New Roman" w:eastAsia="Times New Roman" w:hAnsi="Times New Roman" w:cs="Times New Roman"/>
          <w:color w:val="000000"/>
          <w:sz w:val="24"/>
          <w:szCs w:val="24"/>
          <w:lang w:eastAsia="uk-UA"/>
        </w:rPr>
        <w:t>го</w:t>
      </w:r>
      <w:r w:rsidRPr="009E4EEF">
        <w:rPr>
          <w:rFonts w:ascii="Times New Roman" w:eastAsia="Times New Roman" w:hAnsi="Times New Roman" w:cs="Times New Roman"/>
          <w:color w:val="000000"/>
          <w:sz w:val="24"/>
          <w:szCs w:val="24"/>
          <w:lang w:eastAsia="uk-UA"/>
        </w:rPr>
        <w:t xml:space="preserve"> в межах спеціальної перевірки).</w:t>
      </w:r>
    </w:p>
    <w:p w14:paraId="3175ABED" w14:textId="77777777" w:rsidR="009F4687" w:rsidRPr="009E4EEF" w:rsidRDefault="009F4687" w:rsidP="009E4EEF">
      <w:pPr>
        <w:numPr>
          <w:ilvl w:val="0"/>
          <w:numId w:val="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Повну вищу юридичну освіту здобув у 2003 році в Національному юридичному університеті імені Ярослава Мудрого і отримав диплом спеціаліста за спеціальністю «Правознавство». Наукового ступеня та вченого звання не має.</w:t>
      </w:r>
    </w:p>
    <w:p w14:paraId="0A517539" w14:textId="7C5F1638" w:rsidR="009F4687" w:rsidRPr="009E4EEF" w:rsidRDefault="009F4687" w:rsidP="009E4EEF">
      <w:pPr>
        <w:numPr>
          <w:ilvl w:val="0"/>
          <w:numId w:val="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Стаж професійної діяльності у сфері права перевищує 21 рік. </w:t>
      </w:r>
      <w:r w:rsidR="00890DD0" w:rsidRPr="009E4EEF">
        <w:rPr>
          <w:rFonts w:ascii="Times New Roman" w:eastAsia="Times New Roman" w:hAnsi="Times New Roman" w:cs="Times New Roman"/>
          <w:color w:val="000000"/>
          <w:sz w:val="24"/>
          <w:szCs w:val="24"/>
          <w:lang w:eastAsia="uk-UA"/>
        </w:rPr>
        <w:t>У</w:t>
      </w:r>
      <w:r w:rsidRPr="009E4EEF">
        <w:rPr>
          <w:rFonts w:ascii="Times New Roman" w:eastAsia="Times New Roman" w:hAnsi="Times New Roman" w:cs="Times New Roman"/>
          <w:color w:val="000000"/>
          <w:sz w:val="24"/>
          <w:szCs w:val="24"/>
          <w:lang w:eastAsia="uk-UA"/>
        </w:rPr>
        <w:t xml:space="preserve"> 2003</w:t>
      </w:r>
      <w:r w:rsidR="00890DD0"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2009 р</w:t>
      </w:r>
      <w:r w:rsidR="00890DD0" w:rsidRPr="009E4EEF">
        <w:rPr>
          <w:rFonts w:ascii="Times New Roman" w:eastAsia="Times New Roman" w:hAnsi="Times New Roman" w:cs="Times New Roman"/>
          <w:color w:val="000000"/>
          <w:sz w:val="24"/>
          <w:szCs w:val="24"/>
          <w:lang w:eastAsia="uk-UA"/>
        </w:rPr>
        <w:t>оках</w:t>
      </w:r>
      <w:r w:rsidRPr="009E4EEF">
        <w:rPr>
          <w:rFonts w:ascii="Times New Roman" w:eastAsia="Times New Roman" w:hAnsi="Times New Roman" w:cs="Times New Roman"/>
          <w:color w:val="000000"/>
          <w:sz w:val="24"/>
          <w:szCs w:val="24"/>
          <w:lang w:eastAsia="uk-UA"/>
        </w:rPr>
        <w:t xml:space="preserve"> працював провідним та головним спеціалістом у Територіальному управлінні Державної судової адміністрації Харківської області, </w:t>
      </w:r>
      <w:r w:rsidR="008A528E" w:rsidRPr="009E4EEF">
        <w:rPr>
          <w:rFonts w:ascii="Times New Roman" w:eastAsia="Times New Roman" w:hAnsi="Times New Roman" w:cs="Times New Roman"/>
          <w:color w:val="000000"/>
          <w:sz w:val="24"/>
          <w:szCs w:val="24"/>
          <w:lang w:eastAsia="uk-UA"/>
        </w:rPr>
        <w:t>у</w:t>
      </w:r>
      <w:r w:rsidRPr="009E4EEF">
        <w:rPr>
          <w:rFonts w:ascii="Times New Roman" w:eastAsia="Times New Roman" w:hAnsi="Times New Roman" w:cs="Times New Roman"/>
          <w:color w:val="000000"/>
          <w:sz w:val="24"/>
          <w:szCs w:val="24"/>
          <w:lang w:eastAsia="uk-UA"/>
        </w:rPr>
        <w:t xml:space="preserve"> 2006</w:t>
      </w:r>
      <w:r w:rsidR="008A528E"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2009 рок</w:t>
      </w:r>
      <w:r w:rsidR="008A528E" w:rsidRPr="009E4EEF">
        <w:rPr>
          <w:rFonts w:ascii="Times New Roman" w:eastAsia="Times New Roman" w:hAnsi="Times New Roman" w:cs="Times New Roman"/>
          <w:color w:val="000000"/>
          <w:sz w:val="24"/>
          <w:szCs w:val="24"/>
          <w:lang w:eastAsia="uk-UA"/>
        </w:rPr>
        <w:t>ах</w:t>
      </w:r>
      <w:r w:rsidRPr="009E4EEF">
        <w:rPr>
          <w:rFonts w:ascii="Times New Roman" w:eastAsia="Times New Roman" w:hAnsi="Times New Roman" w:cs="Times New Roman"/>
          <w:color w:val="000000"/>
          <w:sz w:val="24"/>
          <w:szCs w:val="24"/>
          <w:lang w:eastAsia="uk-UA"/>
        </w:rPr>
        <w:t xml:space="preserve"> помічником голови Харківського окружного адміністративного суду, з 2009 року до тепер – суддя Харківського окружного адміністративного суду.</w:t>
      </w:r>
    </w:p>
    <w:p w14:paraId="720AC22D" w14:textId="49017FA2" w:rsidR="009F4687" w:rsidRPr="009E4EEF" w:rsidRDefault="009F4687" w:rsidP="009E4EEF">
      <w:pPr>
        <w:numPr>
          <w:ilvl w:val="0"/>
          <w:numId w:val="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У період з 2012 до 2023 року </w:t>
      </w:r>
      <w:r w:rsidR="008A1DB2" w:rsidRPr="009E4EEF">
        <w:rPr>
          <w:rFonts w:ascii="Times New Roman" w:eastAsia="Times New Roman" w:hAnsi="Times New Roman" w:cs="Times New Roman"/>
          <w:color w:val="000000"/>
          <w:sz w:val="24"/>
          <w:szCs w:val="24"/>
          <w:lang w:eastAsia="uk-UA"/>
        </w:rPr>
        <w:t>стосовно</w:t>
      </w:r>
      <w:r w:rsidRPr="009E4EEF">
        <w:rPr>
          <w:rFonts w:ascii="Times New Roman" w:eastAsia="Times New Roman" w:hAnsi="Times New Roman" w:cs="Times New Roman"/>
          <w:color w:val="000000"/>
          <w:sz w:val="24"/>
          <w:szCs w:val="24"/>
          <w:lang w:eastAsia="uk-UA"/>
        </w:rPr>
        <w:t xml:space="preserve"> </w:t>
      </w:r>
      <w:proofErr w:type="spellStart"/>
      <w:r w:rsidRPr="009E4EEF">
        <w:rPr>
          <w:rFonts w:ascii="Times New Roman" w:eastAsia="Times New Roman" w:hAnsi="Times New Roman" w:cs="Times New Roman"/>
          <w:color w:val="000000"/>
          <w:sz w:val="24"/>
          <w:szCs w:val="24"/>
          <w:lang w:eastAsia="uk-UA"/>
        </w:rPr>
        <w:t>Бабаєва</w:t>
      </w:r>
      <w:proofErr w:type="spellEnd"/>
      <w:r w:rsidRPr="009E4EEF">
        <w:rPr>
          <w:rFonts w:ascii="Times New Roman" w:eastAsia="Times New Roman" w:hAnsi="Times New Roman" w:cs="Times New Roman"/>
          <w:color w:val="000000"/>
          <w:sz w:val="24"/>
          <w:szCs w:val="24"/>
          <w:lang w:eastAsia="uk-UA"/>
        </w:rPr>
        <w:t xml:space="preserve"> А.І. надійшло 6 скарг, </w:t>
      </w:r>
      <w:r w:rsidR="008A1DB2" w:rsidRPr="009E4EEF">
        <w:rPr>
          <w:rFonts w:ascii="Times New Roman" w:eastAsia="Times New Roman" w:hAnsi="Times New Roman" w:cs="Times New Roman"/>
          <w:color w:val="000000"/>
          <w:sz w:val="24"/>
          <w:szCs w:val="24"/>
          <w:lang w:eastAsia="uk-UA"/>
        </w:rPr>
        <w:t>за</w:t>
      </w:r>
      <w:r w:rsidRPr="009E4EEF">
        <w:rPr>
          <w:rFonts w:ascii="Times New Roman" w:eastAsia="Times New Roman" w:hAnsi="Times New Roman" w:cs="Times New Roman"/>
          <w:color w:val="000000"/>
          <w:sz w:val="24"/>
          <w:szCs w:val="24"/>
          <w:lang w:eastAsia="uk-UA"/>
        </w:rPr>
        <w:t xml:space="preserve"> 6 скаргам</w:t>
      </w:r>
      <w:r w:rsidR="008A1DB2" w:rsidRPr="009E4EEF">
        <w:rPr>
          <w:rFonts w:ascii="Times New Roman" w:eastAsia="Times New Roman" w:hAnsi="Times New Roman" w:cs="Times New Roman"/>
          <w:color w:val="000000"/>
          <w:sz w:val="24"/>
          <w:szCs w:val="24"/>
          <w:lang w:eastAsia="uk-UA"/>
        </w:rPr>
        <w:t>и</w:t>
      </w:r>
      <w:r w:rsidRPr="009E4EEF">
        <w:rPr>
          <w:rFonts w:ascii="Times New Roman" w:eastAsia="Times New Roman" w:hAnsi="Times New Roman" w:cs="Times New Roman"/>
          <w:color w:val="000000"/>
          <w:sz w:val="24"/>
          <w:szCs w:val="24"/>
          <w:lang w:eastAsia="uk-UA"/>
        </w:rPr>
        <w:t xml:space="preserve"> проводилась перевірка; </w:t>
      </w:r>
      <w:r w:rsidR="00AE3ADE" w:rsidRPr="009E4EEF">
        <w:rPr>
          <w:rFonts w:ascii="Times New Roman" w:eastAsia="Times New Roman" w:hAnsi="Times New Roman" w:cs="Times New Roman"/>
          <w:color w:val="000000"/>
          <w:sz w:val="24"/>
          <w:szCs w:val="24"/>
          <w:lang w:eastAsia="uk-UA"/>
        </w:rPr>
        <w:t>за</w:t>
      </w:r>
      <w:r w:rsidRPr="009E4EEF">
        <w:rPr>
          <w:rFonts w:ascii="Times New Roman" w:eastAsia="Times New Roman" w:hAnsi="Times New Roman" w:cs="Times New Roman"/>
          <w:color w:val="000000"/>
          <w:sz w:val="24"/>
          <w:szCs w:val="24"/>
          <w:lang w:eastAsia="uk-UA"/>
        </w:rPr>
        <w:t xml:space="preserve"> 2 скаргам</w:t>
      </w:r>
      <w:r w:rsidR="00AE3ADE" w:rsidRPr="009E4EEF">
        <w:rPr>
          <w:rFonts w:ascii="Times New Roman" w:eastAsia="Times New Roman" w:hAnsi="Times New Roman" w:cs="Times New Roman"/>
          <w:color w:val="000000"/>
          <w:sz w:val="24"/>
          <w:szCs w:val="24"/>
          <w:lang w:eastAsia="uk-UA"/>
        </w:rPr>
        <w:t>и</w:t>
      </w:r>
      <w:r w:rsidRPr="009E4EEF">
        <w:rPr>
          <w:rFonts w:ascii="Times New Roman" w:eastAsia="Times New Roman" w:hAnsi="Times New Roman" w:cs="Times New Roman"/>
          <w:color w:val="000000"/>
          <w:sz w:val="24"/>
          <w:szCs w:val="24"/>
          <w:lang w:eastAsia="uk-UA"/>
        </w:rPr>
        <w:t xml:space="preserve"> було відмовлено у відкритті дисциплінарної справи, повернуто без розгляду 4 скарги. У 2024 році </w:t>
      </w:r>
      <w:r w:rsidR="00AE3ADE" w:rsidRPr="009E4EEF">
        <w:rPr>
          <w:rFonts w:ascii="Times New Roman" w:eastAsia="Times New Roman" w:hAnsi="Times New Roman" w:cs="Times New Roman"/>
          <w:color w:val="000000"/>
          <w:sz w:val="24"/>
          <w:szCs w:val="24"/>
          <w:lang w:eastAsia="uk-UA"/>
        </w:rPr>
        <w:t>стосовно</w:t>
      </w:r>
      <w:r w:rsidRPr="009E4EEF">
        <w:rPr>
          <w:rFonts w:ascii="Times New Roman" w:eastAsia="Times New Roman" w:hAnsi="Times New Roman" w:cs="Times New Roman"/>
          <w:color w:val="000000"/>
          <w:sz w:val="24"/>
          <w:szCs w:val="24"/>
          <w:lang w:eastAsia="uk-UA"/>
        </w:rPr>
        <w:t xml:space="preserve"> судді надійшло 2 скарги. У досьє відсутні відомості про результати їх перевірки.</w:t>
      </w:r>
    </w:p>
    <w:p w14:paraId="21C83A93" w14:textId="7609F788" w:rsidR="009F4687" w:rsidRPr="009E4EEF" w:rsidRDefault="009F4687" w:rsidP="009E4EEF">
      <w:pPr>
        <w:numPr>
          <w:ilvl w:val="0"/>
          <w:numId w:val="6"/>
        </w:num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За професійну діяльність </w:t>
      </w:r>
      <w:proofErr w:type="spellStart"/>
      <w:r w:rsidR="00B93760" w:rsidRPr="009E4EEF">
        <w:rPr>
          <w:rFonts w:ascii="Times New Roman" w:eastAsia="Times New Roman" w:hAnsi="Times New Roman" w:cs="Times New Roman"/>
          <w:color w:val="000000"/>
          <w:sz w:val="24"/>
          <w:szCs w:val="24"/>
          <w:lang w:eastAsia="uk-UA"/>
        </w:rPr>
        <w:t>Бабаєва</w:t>
      </w:r>
      <w:proofErr w:type="spellEnd"/>
      <w:r w:rsidR="00B93760" w:rsidRPr="009E4EEF">
        <w:rPr>
          <w:rFonts w:ascii="Times New Roman" w:eastAsia="Times New Roman" w:hAnsi="Times New Roman" w:cs="Times New Roman"/>
          <w:color w:val="000000"/>
          <w:sz w:val="24"/>
          <w:szCs w:val="24"/>
          <w:lang w:eastAsia="uk-UA"/>
        </w:rPr>
        <w:t xml:space="preserve"> А.І. </w:t>
      </w:r>
      <w:r w:rsidRPr="009E4EEF">
        <w:rPr>
          <w:rFonts w:ascii="Times New Roman" w:eastAsia="Times New Roman" w:hAnsi="Times New Roman" w:cs="Times New Roman"/>
          <w:color w:val="000000"/>
          <w:sz w:val="24"/>
          <w:szCs w:val="24"/>
          <w:lang w:eastAsia="uk-UA"/>
        </w:rPr>
        <w:t>нагороджено подякою Вищого адміністративного суду України</w:t>
      </w:r>
      <w:r w:rsidR="00B93760"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наказ </w:t>
      </w:r>
      <w:r w:rsidR="00B93760" w:rsidRPr="009E4EEF">
        <w:rPr>
          <w:rFonts w:ascii="Times New Roman" w:eastAsia="Times New Roman" w:hAnsi="Times New Roman" w:cs="Times New Roman"/>
          <w:color w:val="000000"/>
          <w:sz w:val="24"/>
          <w:szCs w:val="24"/>
          <w:lang w:eastAsia="uk-UA"/>
        </w:rPr>
        <w:t xml:space="preserve">від 19 вересня 2013 року </w:t>
      </w:r>
      <w:r w:rsidRPr="009E4EEF">
        <w:rPr>
          <w:rFonts w:ascii="Times New Roman" w:eastAsia="Times New Roman" w:hAnsi="Times New Roman" w:cs="Times New Roman"/>
          <w:color w:val="000000"/>
          <w:sz w:val="24"/>
          <w:szCs w:val="24"/>
          <w:lang w:eastAsia="uk-UA"/>
        </w:rPr>
        <w:t>№ 309-к</w:t>
      </w:r>
      <w:r w:rsidR="00B93760"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w:t>
      </w:r>
    </w:p>
    <w:p w14:paraId="197BE78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416EF75F"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ІІІ. Складання кваліфікаційного іспиту (встановлення відповідності кандидата критерію професійної компетентності). </w:t>
      </w:r>
    </w:p>
    <w:p w14:paraId="5914C79C" w14:textId="44AF0B82"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0D3A8C2F" w14:textId="77777777" w:rsidR="009F4687" w:rsidRPr="009E4EEF" w:rsidRDefault="009F4687" w:rsidP="009E4EEF">
      <w:pPr>
        <w:numPr>
          <w:ilvl w:val="0"/>
          <w:numId w:val="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цього Закону, з урахуванням особливостей, встановлених главою 1 розділу V Закону.</w:t>
      </w:r>
    </w:p>
    <w:p w14:paraId="1A2098C1" w14:textId="77777777" w:rsidR="009F4687" w:rsidRPr="009E4EEF" w:rsidRDefault="009F4687" w:rsidP="009E4EEF">
      <w:pPr>
        <w:numPr>
          <w:ilvl w:val="0"/>
          <w:numId w:val="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9E4EEF">
        <w:rPr>
          <w:rFonts w:ascii="Times New Roman" w:eastAsia="Times New Roman" w:hAnsi="Times New Roman" w:cs="Times New Roman"/>
          <w:color w:val="000000"/>
          <w:sz w:val="24"/>
          <w:szCs w:val="24"/>
          <w:lang w:eastAsia="uk-UA"/>
        </w:rPr>
        <w:t>інстанційності</w:t>
      </w:r>
      <w:proofErr w:type="spellEnd"/>
      <w:r w:rsidRPr="009E4EEF">
        <w:rPr>
          <w:rFonts w:ascii="Times New Roman" w:eastAsia="Times New Roman" w:hAnsi="Times New Roman" w:cs="Times New Roman"/>
          <w:color w:val="000000"/>
          <w:sz w:val="24"/>
          <w:szCs w:val="24"/>
          <w:lang w:eastAsia="uk-UA"/>
        </w:rPr>
        <w:t xml:space="preserve">. Практичне завдання проводиться щодо спеціалізації відповідного суду з урахуванням його </w:t>
      </w:r>
      <w:proofErr w:type="spellStart"/>
      <w:r w:rsidRPr="009E4EEF">
        <w:rPr>
          <w:rFonts w:ascii="Times New Roman" w:eastAsia="Times New Roman" w:hAnsi="Times New Roman" w:cs="Times New Roman"/>
          <w:color w:val="000000"/>
          <w:sz w:val="24"/>
          <w:szCs w:val="24"/>
          <w:lang w:eastAsia="uk-UA"/>
        </w:rPr>
        <w:t>інстанційності</w:t>
      </w:r>
      <w:proofErr w:type="spellEnd"/>
      <w:r w:rsidRPr="009E4EEF">
        <w:rPr>
          <w:rFonts w:ascii="Times New Roman" w:eastAsia="Times New Roman" w:hAnsi="Times New Roman" w:cs="Times New Roman"/>
          <w:color w:val="000000"/>
          <w:sz w:val="24"/>
          <w:szCs w:val="24"/>
          <w:lang w:eastAsia="uk-UA"/>
        </w:rPr>
        <w:t>.</w:t>
      </w:r>
    </w:p>
    <w:p w14:paraId="6F90E7FF" w14:textId="77777777" w:rsidR="009F4687" w:rsidRPr="009E4EEF" w:rsidRDefault="009F4687" w:rsidP="009E4EEF">
      <w:pPr>
        <w:numPr>
          <w:ilvl w:val="0"/>
          <w:numId w:val="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211135" w14:textId="77777777" w:rsidR="009F4687" w:rsidRPr="009E4EEF" w:rsidRDefault="009F4687" w:rsidP="009E4EEF">
      <w:pPr>
        <w:numPr>
          <w:ilvl w:val="0"/>
          <w:numId w:val="1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009DE391" w14:textId="64A78511" w:rsidR="009F4687" w:rsidRPr="009E4EEF" w:rsidRDefault="009F4687" w:rsidP="009E4EEF">
      <w:pPr>
        <w:numPr>
          <w:ilvl w:val="0"/>
          <w:numId w:val="1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14</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вересня 2023 року № 94/зп-23</w:t>
      </w:r>
    </w:p>
    <w:p w14:paraId="442FE5D3" w14:textId="2BFCFE09" w:rsidR="009F4687" w:rsidRPr="009E4EEF" w:rsidRDefault="009F4687" w:rsidP="009E4EEF">
      <w:pPr>
        <w:numPr>
          <w:ilvl w:val="0"/>
          <w:numId w:val="1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Рішеннями Комісії від 12 березня 2025 року № 48/зп-25 та № 49/зп-25 затверджено кодовані та декодовані результати практичного завдання, виконаного 24</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w:t>
      </w:r>
      <w:r w:rsidRPr="009E4EEF">
        <w:rPr>
          <w:rFonts w:ascii="Times New Roman" w:eastAsia="Times New Roman" w:hAnsi="Times New Roman" w:cs="Times New Roman"/>
          <w:color w:val="000000"/>
          <w:sz w:val="24"/>
          <w:szCs w:val="24"/>
          <w:lang w:eastAsia="uk-UA"/>
        </w:rPr>
        <w:lastRenderedPageBreak/>
        <w:t>«Складання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14:paraId="7C90B9AC" w14:textId="5C290D89" w:rsidR="009F4687" w:rsidRPr="009E4EEF" w:rsidRDefault="009F4687" w:rsidP="009E4EEF">
      <w:pPr>
        <w:numPr>
          <w:ilvl w:val="0"/>
          <w:numId w:val="1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573007F9" w14:textId="43884D4F" w:rsidR="009F4687" w:rsidRPr="009E4EEF" w:rsidRDefault="009F4687" w:rsidP="009E4EEF">
      <w:pPr>
        <w:numPr>
          <w:ilvl w:val="0"/>
          <w:numId w:val="1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E76E85" w:rsidRPr="009E4EEF">
        <w:rPr>
          <w:rFonts w:ascii="Times New Roman" w:eastAsia="Times New Roman" w:hAnsi="Times New Roman" w:cs="Times New Roman"/>
          <w:color w:val="000000"/>
          <w:sz w:val="24"/>
          <w:szCs w:val="24"/>
          <w:lang w:eastAsia="uk-UA"/>
        </w:rPr>
        <w:t> </w:t>
      </w:r>
      <w:r w:rsidRPr="009E4EEF">
        <w:rPr>
          <w:rFonts w:ascii="Times New Roman" w:eastAsia="Times New Roman" w:hAnsi="Times New Roman" w:cs="Times New Roman"/>
          <w:color w:val="000000"/>
          <w:sz w:val="24"/>
          <w:szCs w:val="24"/>
          <w:lang w:eastAsia="uk-UA"/>
        </w:rPr>
        <w:t>94/зп-23, від 23 листопада 2023 року № 145/зп-23.</w:t>
      </w:r>
    </w:p>
    <w:p w14:paraId="68AECB79" w14:textId="77777777" w:rsidR="009F4687" w:rsidRPr="009E4EEF" w:rsidRDefault="009F4687" w:rsidP="009E4EEF">
      <w:pPr>
        <w:numPr>
          <w:ilvl w:val="0"/>
          <w:numId w:val="1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З огляду на зазначене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tbl>
      <w:tblPr>
        <w:tblW w:w="0" w:type="auto"/>
        <w:tblCellMar>
          <w:top w:w="15" w:type="dxa"/>
          <w:left w:w="15" w:type="dxa"/>
          <w:bottom w:w="15" w:type="dxa"/>
          <w:right w:w="15" w:type="dxa"/>
        </w:tblCellMar>
        <w:tblLook w:val="04A0" w:firstRow="1" w:lastRow="0" w:firstColumn="1" w:lastColumn="0" w:noHBand="0" w:noVBand="1"/>
      </w:tblPr>
      <w:tblGrid>
        <w:gridCol w:w="2356"/>
        <w:gridCol w:w="6096"/>
        <w:gridCol w:w="510"/>
        <w:gridCol w:w="630"/>
      </w:tblGrid>
      <w:tr w:rsidR="009F4687" w:rsidRPr="009E4EEF" w14:paraId="5022F8AB" w14:textId="77777777" w:rsidTr="009F4687">
        <w:trPr>
          <w:trHeight w:val="315"/>
        </w:trPr>
        <w:tc>
          <w:tcPr>
            <w:tcW w:w="0" w:type="auto"/>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14C0D00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Професійна компетентність</w:t>
            </w:r>
          </w:p>
        </w:tc>
        <w:tc>
          <w:tcPr>
            <w:tcW w:w="0" w:type="auto"/>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3F8712F"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Когнітивні здібності</w:t>
            </w:r>
          </w:p>
        </w:tc>
        <w:tc>
          <w:tcPr>
            <w:tcW w:w="0" w:type="auto"/>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1AE21B"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46,3</w:t>
            </w:r>
          </w:p>
        </w:tc>
        <w:tc>
          <w:tcPr>
            <w:tcW w:w="0" w:type="auto"/>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hideMark/>
          </w:tcPr>
          <w:p w14:paraId="7B60EAF7"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335,3</w:t>
            </w:r>
          </w:p>
        </w:tc>
      </w:tr>
      <w:tr w:rsidR="009F4687" w:rsidRPr="009E4EEF" w14:paraId="7C264382" w14:textId="77777777" w:rsidTr="009F4687">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68AAAA8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65D319E"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Знання історії української державності</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457128"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40</w:t>
            </w: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331307F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49426888" w14:textId="77777777" w:rsidTr="009F4687">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62F8C0D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0A1605"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Знання у сфері права та спеціалізації суду</w:t>
            </w:r>
          </w:p>
        </w:tc>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FBC6F0"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134</w:t>
            </w: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3B0BA84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252D30FA" w14:textId="77777777" w:rsidTr="009F4687">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13B0F59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bottom"/>
            <w:hideMark/>
          </w:tcPr>
          <w:p w14:paraId="06CB311A"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0" w:type="auto"/>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bottom"/>
            <w:hideMark/>
          </w:tcPr>
          <w:p w14:paraId="3C27543D"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115</w:t>
            </w: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4BD77EE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bl>
    <w:p w14:paraId="51BCA95B" w14:textId="20222457"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4DB9ED49" w14:textId="77777777" w:rsidR="009F4687" w:rsidRPr="009E4EEF" w:rsidRDefault="009F4687" w:rsidP="009E4EEF">
      <w:pPr>
        <w:numPr>
          <w:ilvl w:val="0"/>
          <w:numId w:val="1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тестування.</w:t>
      </w:r>
    </w:p>
    <w:p w14:paraId="70D0F291" w14:textId="33D9A5DC" w:rsidR="009F4687" w:rsidRPr="009E4EEF" w:rsidRDefault="009F4687" w:rsidP="009E4EEF">
      <w:pPr>
        <w:numPr>
          <w:ilvl w:val="0"/>
          <w:numId w:val="1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Отже, загальна кількість балів за кваліфікаційний іспит – 335,3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із 400 можливих, що свідчить про підтвердження </w:t>
      </w:r>
      <w:proofErr w:type="spellStart"/>
      <w:r w:rsidRPr="009E4EEF">
        <w:rPr>
          <w:rFonts w:ascii="Times New Roman" w:eastAsia="Times New Roman" w:hAnsi="Times New Roman" w:cs="Times New Roman"/>
          <w:color w:val="000000"/>
          <w:sz w:val="24"/>
          <w:szCs w:val="24"/>
          <w:lang w:eastAsia="uk-UA"/>
        </w:rPr>
        <w:t>Бабаєвим</w:t>
      </w:r>
      <w:proofErr w:type="spellEnd"/>
      <w:r w:rsidRPr="009E4EEF">
        <w:rPr>
          <w:rFonts w:ascii="Times New Roman" w:eastAsia="Times New Roman" w:hAnsi="Times New Roman" w:cs="Times New Roman"/>
          <w:color w:val="000000"/>
          <w:sz w:val="24"/>
          <w:szCs w:val="24"/>
          <w:lang w:eastAsia="uk-UA"/>
        </w:rPr>
        <w:t xml:space="preserve"> А.І. здатності здійснювати правосуддя в апеляційному адміністративному суді за критерієм професійної компетентності. </w:t>
      </w:r>
    </w:p>
    <w:p w14:paraId="3FBCC456" w14:textId="04E0B685" w:rsidR="00AB7E40" w:rsidRPr="009E4EEF" w:rsidRDefault="00AB7E40"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1AF697D8"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ІV. Проведення спеціальної перевірки. </w:t>
      </w:r>
    </w:p>
    <w:p w14:paraId="012BF3FE" w14:textId="7D00F5AA"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0E3C056F" w14:textId="77777777" w:rsidR="009F4687" w:rsidRPr="009E4EEF" w:rsidRDefault="009F4687" w:rsidP="009E4EEF">
      <w:pPr>
        <w:numPr>
          <w:ilvl w:val="0"/>
          <w:numId w:val="1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Відповідно до статті 75 Закону, статей 56 – 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proofErr w:type="spellStart"/>
      <w:r w:rsidRPr="009E4EEF">
        <w:rPr>
          <w:rFonts w:ascii="Times New Roman" w:eastAsia="Times New Roman" w:hAnsi="Times New Roman" w:cs="Times New Roman"/>
          <w:color w:val="000000"/>
          <w:sz w:val="24"/>
          <w:szCs w:val="24"/>
          <w:lang w:eastAsia="uk-UA"/>
        </w:rPr>
        <w:t>Бабаєва</w:t>
      </w:r>
      <w:proofErr w:type="spellEnd"/>
      <w:r w:rsidRPr="009E4EEF">
        <w:rPr>
          <w:rFonts w:ascii="Times New Roman" w:eastAsia="Times New Roman" w:hAnsi="Times New Roman" w:cs="Times New Roman"/>
          <w:color w:val="000000"/>
          <w:sz w:val="24"/>
          <w:szCs w:val="24"/>
          <w:lang w:eastAsia="uk-UA"/>
        </w:rPr>
        <w:t xml:space="preserve"> А.І.</w:t>
      </w:r>
    </w:p>
    <w:p w14:paraId="2FA9229B" w14:textId="77777777" w:rsidR="009F4687" w:rsidRPr="009E4EEF" w:rsidRDefault="009F4687" w:rsidP="009E4EEF">
      <w:pPr>
        <w:numPr>
          <w:ilvl w:val="0"/>
          <w:numId w:val="1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Запити про надання відомостей стосовно </w:t>
      </w:r>
      <w:proofErr w:type="spellStart"/>
      <w:r w:rsidRPr="009E4EEF">
        <w:rPr>
          <w:rFonts w:ascii="Times New Roman" w:eastAsia="Times New Roman" w:hAnsi="Times New Roman" w:cs="Times New Roman"/>
          <w:color w:val="000000"/>
          <w:sz w:val="24"/>
          <w:szCs w:val="24"/>
          <w:lang w:eastAsia="uk-UA"/>
        </w:rPr>
        <w:t>Бабаєва</w:t>
      </w:r>
      <w:proofErr w:type="spellEnd"/>
      <w:r w:rsidRPr="009E4EEF">
        <w:rPr>
          <w:rFonts w:ascii="Times New Roman" w:eastAsia="Times New Roman" w:hAnsi="Times New Roman" w:cs="Times New Roman"/>
          <w:color w:val="000000"/>
          <w:sz w:val="24"/>
          <w:szCs w:val="24"/>
          <w:lang w:eastAsia="uk-UA"/>
        </w:rPr>
        <w:t xml:space="preserve"> А.І.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w:t>
      </w:r>
      <w:r w:rsidRPr="009E4EEF">
        <w:rPr>
          <w:rFonts w:ascii="Times New Roman" w:eastAsia="Times New Roman" w:hAnsi="Times New Roman" w:cs="Times New Roman"/>
          <w:color w:val="000000"/>
          <w:sz w:val="24"/>
          <w:szCs w:val="24"/>
          <w:lang w:eastAsia="uk-UA"/>
        </w:rPr>
        <w:lastRenderedPageBreak/>
        <w:t>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06A16AE4" w14:textId="498158B4" w:rsidR="009F4687" w:rsidRPr="009E4EEF" w:rsidRDefault="009F4687" w:rsidP="009E4EEF">
      <w:pPr>
        <w:numPr>
          <w:ilvl w:val="0"/>
          <w:numId w:val="2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Рішенням Вищої кваліфікаційної комісії суддів України від 05 травня 2025</w:t>
      </w:r>
      <w:r w:rsidR="009D489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року </w:t>
      </w:r>
      <w:r w:rsidRPr="005E1630">
        <w:rPr>
          <w:rFonts w:ascii="Times New Roman" w:eastAsia="Times New Roman" w:hAnsi="Times New Roman" w:cs="Times New Roman"/>
          <w:color w:val="000000"/>
          <w:sz w:val="24"/>
          <w:szCs w:val="24"/>
          <w:lang w:eastAsia="uk-UA"/>
        </w:rPr>
        <w:t>№ 4 установлено</w:t>
      </w:r>
      <w:r w:rsidRPr="009E4EEF">
        <w:rPr>
          <w:rFonts w:ascii="Times New Roman" w:eastAsia="Times New Roman" w:hAnsi="Times New Roman" w:cs="Times New Roman"/>
          <w:color w:val="000000"/>
          <w:sz w:val="24"/>
          <w:szCs w:val="24"/>
          <w:lang w:eastAsia="uk-UA"/>
        </w:rPr>
        <w:t xml:space="preserve">, що під час проведення спеціальної перевірки не отримано інформації, яка може свідчити про невідповідність </w:t>
      </w:r>
      <w:proofErr w:type="spellStart"/>
      <w:r w:rsidR="00E76E85" w:rsidRPr="009E4EEF">
        <w:rPr>
          <w:rFonts w:ascii="Times New Roman" w:eastAsia="Times New Roman" w:hAnsi="Times New Roman" w:cs="Times New Roman"/>
          <w:color w:val="000000"/>
          <w:sz w:val="24"/>
          <w:szCs w:val="24"/>
          <w:lang w:eastAsia="uk-UA"/>
        </w:rPr>
        <w:t>Бабаєва</w:t>
      </w:r>
      <w:proofErr w:type="spellEnd"/>
      <w:r w:rsidR="00E76E85" w:rsidRPr="009E4EEF">
        <w:rPr>
          <w:rFonts w:ascii="Times New Roman" w:eastAsia="Times New Roman" w:hAnsi="Times New Roman" w:cs="Times New Roman"/>
          <w:color w:val="000000"/>
          <w:sz w:val="24"/>
          <w:szCs w:val="24"/>
          <w:lang w:eastAsia="uk-UA"/>
        </w:rPr>
        <w:t xml:space="preserve"> А.І. </w:t>
      </w:r>
      <w:r w:rsidRPr="009E4EEF">
        <w:rPr>
          <w:rFonts w:ascii="Times New Roman" w:eastAsia="Times New Roman" w:hAnsi="Times New Roman" w:cs="Times New Roman"/>
          <w:color w:val="000000"/>
          <w:sz w:val="24"/>
          <w:szCs w:val="24"/>
          <w:lang w:eastAsia="uk-UA"/>
        </w:rPr>
        <w:t>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451160A4" w14:textId="77777777" w:rsidR="0082194F" w:rsidRPr="009E4EEF" w:rsidRDefault="0082194F"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798E6F19"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14:paraId="68491877" w14:textId="1AEF47BB"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p>
    <w:p w14:paraId="573C718F"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u w:val="single"/>
          <w:lang w:eastAsia="uk-UA"/>
        </w:rPr>
        <w:t>V-І. Стислий опис проходження другого етапу кваліфікаційного оцінювання. </w:t>
      </w:r>
    </w:p>
    <w:p w14:paraId="44DD5D1B" w14:textId="6FB8B4B9" w:rsidR="009F4687" w:rsidRPr="009E4EEF" w:rsidRDefault="009F4687" w:rsidP="009E4EEF">
      <w:pPr>
        <w:numPr>
          <w:ilvl w:val="0"/>
          <w:numId w:val="2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Рішеннями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000E69E5" w:rsidRPr="009E4EEF">
        <w:rPr>
          <w:rFonts w:ascii="Times New Roman" w:eastAsia="Times New Roman" w:hAnsi="Times New Roman" w:cs="Times New Roman"/>
          <w:color w:val="000000"/>
          <w:sz w:val="24"/>
          <w:szCs w:val="24"/>
          <w:lang w:eastAsia="uk-UA"/>
        </w:rPr>
        <w:t xml:space="preserve">допущено 67 кандидатів на посади суддів апеляційних адміністративних судів, які успішно склали кваліфікаційний іспит, </w:t>
      </w:r>
      <w:r w:rsidRPr="009E4EEF">
        <w:rPr>
          <w:rFonts w:ascii="Times New Roman" w:eastAsia="Times New Roman" w:hAnsi="Times New Roman" w:cs="Times New Roman"/>
          <w:color w:val="000000"/>
          <w:sz w:val="24"/>
          <w:szCs w:val="24"/>
          <w:lang w:eastAsia="uk-UA"/>
        </w:rPr>
        <w:t xml:space="preserve">зокрема </w:t>
      </w:r>
      <w:proofErr w:type="spellStart"/>
      <w:r w:rsidRPr="009E4EEF">
        <w:rPr>
          <w:rFonts w:ascii="Times New Roman" w:eastAsia="Times New Roman" w:hAnsi="Times New Roman" w:cs="Times New Roman"/>
          <w:color w:val="000000"/>
          <w:sz w:val="24"/>
          <w:szCs w:val="24"/>
          <w:lang w:eastAsia="uk-UA"/>
        </w:rPr>
        <w:t>Бабаєва</w:t>
      </w:r>
      <w:proofErr w:type="spellEnd"/>
      <w:r w:rsidR="000E69E5"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А.І.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у складі Першої палати Вищої кваліфікаційної комісії суддів України.</w:t>
      </w:r>
    </w:p>
    <w:p w14:paraId="7B49ACB2" w14:textId="77777777" w:rsidR="009F4687" w:rsidRPr="009E4EEF" w:rsidRDefault="009F4687" w:rsidP="009E4EEF">
      <w:pPr>
        <w:numPr>
          <w:ilvl w:val="0"/>
          <w:numId w:val="2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Відповідно до протоколу повторного розподілу між членами Комісії від 13 березня 2025 року доповідачем у справі кандидата на посаду судді апеляційного адміністративного суду </w:t>
      </w:r>
      <w:proofErr w:type="spellStart"/>
      <w:r w:rsidRPr="009E4EEF">
        <w:rPr>
          <w:rFonts w:ascii="Times New Roman" w:eastAsia="Times New Roman" w:hAnsi="Times New Roman" w:cs="Times New Roman"/>
          <w:color w:val="000000"/>
          <w:sz w:val="24"/>
          <w:szCs w:val="24"/>
          <w:lang w:eastAsia="uk-UA"/>
        </w:rPr>
        <w:t>Бабаєва</w:t>
      </w:r>
      <w:proofErr w:type="spellEnd"/>
      <w:r w:rsidRPr="009E4EEF">
        <w:rPr>
          <w:rFonts w:ascii="Times New Roman" w:eastAsia="Times New Roman" w:hAnsi="Times New Roman" w:cs="Times New Roman"/>
          <w:color w:val="000000"/>
          <w:sz w:val="24"/>
          <w:szCs w:val="24"/>
          <w:lang w:eastAsia="uk-UA"/>
        </w:rPr>
        <w:t xml:space="preserve"> А.І. визначено члена Комісії </w:t>
      </w:r>
      <w:proofErr w:type="spellStart"/>
      <w:r w:rsidRPr="009E4EEF">
        <w:rPr>
          <w:rFonts w:ascii="Times New Roman" w:eastAsia="Times New Roman" w:hAnsi="Times New Roman" w:cs="Times New Roman"/>
          <w:color w:val="000000"/>
          <w:sz w:val="24"/>
          <w:szCs w:val="24"/>
          <w:lang w:eastAsia="uk-UA"/>
        </w:rPr>
        <w:t>Сабодаша</w:t>
      </w:r>
      <w:proofErr w:type="spellEnd"/>
      <w:r w:rsidRPr="009E4EEF">
        <w:rPr>
          <w:rFonts w:ascii="Times New Roman" w:eastAsia="Times New Roman" w:hAnsi="Times New Roman" w:cs="Times New Roman"/>
          <w:color w:val="000000"/>
          <w:sz w:val="24"/>
          <w:szCs w:val="24"/>
          <w:lang w:eastAsia="uk-UA"/>
        </w:rPr>
        <w:t xml:space="preserve"> Р.Б.</w:t>
      </w:r>
    </w:p>
    <w:p w14:paraId="54732B57" w14:textId="4C81CC7A" w:rsidR="009F4687" w:rsidRPr="009E4EEF" w:rsidRDefault="0087526B" w:rsidP="009E4EEF">
      <w:pPr>
        <w:numPr>
          <w:ilvl w:val="0"/>
          <w:numId w:val="2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Листом </w:t>
      </w:r>
      <w:r w:rsidR="009F4687" w:rsidRPr="009E4EEF">
        <w:rPr>
          <w:rFonts w:ascii="Times New Roman" w:eastAsia="Times New Roman" w:hAnsi="Times New Roman" w:cs="Times New Roman"/>
          <w:color w:val="000000"/>
          <w:sz w:val="24"/>
          <w:szCs w:val="24"/>
          <w:lang w:eastAsia="uk-UA"/>
        </w:rPr>
        <w:t>Комісі</w:t>
      </w:r>
      <w:r w:rsidRPr="009E4EEF">
        <w:rPr>
          <w:rFonts w:ascii="Times New Roman" w:eastAsia="Times New Roman" w:hAnsi="Times New Roman" w:cs="Times New Roman"/>
          <w:color w:val="000000"/>
          <w:sz w:val="24"/>
          <w:szCs w:val="24"/>
          <w:lang w:eastAsia="uk-UA"/>
        </w:rPr>
        <w:t>ї від</w:t>
      </w:r>
      <w:r w:rsidR="009F4687" w:rsidRPr="009E4EEF">
        <w:rPr>
          <w:rFonts w:ascii="Times New Roman" w:eastAsia="Times New Roman" w:hAnsi="Times New Roman" w:cs="Times New Roman"/>
          <w:color w:val="000000"/>
          <w:sz w:val="24"/>
          <w:szCs w:val="24"/>
          <w:lang w:eastAsia="uk-UA"/>
        </w:rPr>
        <w:t xml:space="preserve"> 11 квітня 2025 року </w:t>
      </w:r>
      <w:r w:rsidRPr="009E4EEF">
        <w:rPr>
          <w:rFonts w:ascii="Times New Roman" w:eastAsia="Times New Roman" w:hAnsi="Times New Roman" w:cs="Times New Roman"/>
          <w:color w:val="000000"/>
          <w:sz w:val="24"/>
          <w:szCs w:val="24"/>
          <w:lang w:eastAsia="uk-UA"/>
        </w:rPr>
        <w:t xml:space="preserve">№ 21-2602/25 </w:t>
      </w:r>
      <w:r w:rsidR="009F4687" w:rsidRPr="009E4EEF">
        <w:rPr>
          <w:rFonts w:ascii="Times New Roman" w:eastAsia="Times New Roman" w:hAnsi="Times New Roman" w:cs="Times New Roman"/>
          <w:color w:val="000000"/>
          <w:sz w:val="24"/>
          <w:szCs w:val="24"/>
          <w:lang w:eastAsia="uk-UA"/>
        </w:rPr>
        <w:t>кандидат</w:t>
      </w:r>
      <w:r w:rsidRPr="009E4EEF">
        <w:rPr>
          <w:rFonts w:ascii="Times New Roman" w:eastAsia="Times New Roman" w:hAnsi="Times New Roman" w:cs="Times New Roman"/>
          <w:color w:val="000000"/>
          <w:sz w:val="24"/>
          <w:szCs w:val="24"/>
          <w:lang w:eastAsia="uk-UA"/>
        </w:rPr>
        <w:t>ам</w:t>
      </w:r>
      <w:r w:rsidR="009F4687" w:rsidRPr="009E4EEF">
        <w:rPr>
          <w:rFonts w:ascii="Times New Roman" w:eastAsia="Times New Roman" w:hAnsi="Times New Roman" w:cs="Times New Roman"/>
          <w:color w:val="000000"/>
          <w:sz w:val="24"/>
          <w:szCs w:val="24"/>
          <w:lang w:eastAsia="uk-UA"/>
        </w:rPr>
        <w:t xml:space="preserve"> на посади суддів в апеляційних адміністративних судах запропонова</w:t>
      </w:r>
      <w:r w:rsidR="0032601E" w:rsidRPr="009E4EEF">
        <w:rPr>
          <w:rFonts w:ascii="Times New Roman" w:eastAsia="Times New Roman" w:hAnsi="Times New Roman" w:cs="Times New Roman"/>
          <w:color w:val="000000"/>
          <w:sz w:val="24"/>
          <w:szCs w:val="24"/>
          <w:lang w:eastAsia="uk-UA"/>
        </w:rPr>
        <w:t>но</w:t>
      </w:r>
      <w:r w:rsidR="009F4687" w:rsidRPr="009E4EEF">
        <w:rPr>
          <w:rFonts w:ascii="Times New Roman" w:eastAsia="Times New Roman" w:hAnsi="Times New Roman" w:cs="Times New Roman"/>
          <w:color w:val="000000"/>
          <w:sz w:val="24"/>
          <w:szCs w:val="24"/>
          <w:lang w:eastAsia="uk-UA"/>
        </w:rPr>
        <w:t xml:space="preserve"> надати Комісії для долучення до досьє та оцінювання під час співбесіди пояснення та докази (за</w:t>
      </w:r>
      <w:r w:rsidR="0032601E" w:rsidRPr="009E4EEF">
        <w:rPr>
          <w:rFonts w:ascii="Times New Roman" w:eastAsia="Times New Roman" w:hAnsi="Times New Roman" w:cs="Times New Roman"/>
          <w:color w:val="000000"/>
          <w:sz w:val="24"/>
          <w:szCs w:val="24"/>
          <w:lang w:eastAsia="uk-UA"/>
        </w:rPr>
        <w:t xml:space="preserve"> </w:t>
      </w:r>
      <w:r w:rsidR="009F4687" w:rsidRPr="009E4EEF">
        <w:rPr>
          <w:rFonts w:ascii="Times New Roman" w:eastAsia="Times New Roman" w:hAnsi="Times New Roman" w:cs="Times New Roman"/>
          <w:color w:val="000000"/>
          <w:sz w:val="24"/>
          <w:szCs w:val="24"/>
          <w:lang w:eastAsia="uk-UA"/>
        </w:rPr>
        <w:t xml:space="preserve">наявності), які, на </w:t>
      </w:r>
      <w:r w:rsidR="0032601E" w:rsidRPr="009E4EEF">
        <w:rPr>
          <w:rFonts w:ascii="Times New Roman" w:eastAsia="Times New Roman" w:hAnsi="Times New Roman" w:cs="Times New Roman"/>
          <w:color w:val="000000"/>
          <w:sz w:val="24"/>
          <w:szCs w:val="24"/>
          <w:lang w:eastAsia="uk-UA"/>
        </w:rPr>
        <w:t xml:space="preserve">їх </w:t>
      </w:r>
      <w:r w:rsidR="009F4687" w:rsidRPr="009E4EEF">
        <w:rPr>
          <w:rFonts w:ascii="Times New Roman" w:eastAsia="Times New Roman" w:hAnsi="Times New Roman" w:cs="Times New Roman"/>
          <w:color w:val="000000"/>
          <w:sz w:val="24"/>
          <w:szCs w:val="24"/>
          <w:lang w:eastAsia="uk-UA"/>
        </w:rPr>
        <w:t xml:space="preserve">думку, підтверджують </w:t>
      </w:r>
      <w:r w:rsidR="0032601E" w:rsidRPr="009E4EEF">
        <w:rPr>
          <w:rFonts w:ascii="Times New Roman" w:eastAsia="Times New Roman" w:hAnsi="Times New Roman" w:cs="Times New Roman"/>
          <w:color w:val="000000"/>
          <w:sz w:val="24"/>
          <w:szCs w:val="24"/>
          <w:lang w:eastAsia="uk-UA"/>
        </w:rPr>
        <w:t>їх</w:t>
      </w:r>
      <w:r w:rsidR="009F4687" w:rsidRPr="009E4EEF">
        <w:rPr>
          <w:rFonts w:ascii="Times New Roman" w:eastAsia="Times New Roman" w:hAnsi="Times New Roman" w:cs="Times New Roman"/>
          <w:color w:val="000000"/>
          <w:sz w:val="24"/>
          <w:szCs w:val="24"/>
          <w:lang w:eastAsia="uk-UA"/>
        </w:rPr>
        <w:t xml:space="preserve"> відповідність зазначеним критеріям особистої та соціальної компетентності. Водночас увагу кандидатів </w:t>
      </w:r>
      <w:proofErr w:type="spellStart"/>
      <w:r w:rsidR="009F4687" w:rsidRPr="009E4EEF">
        <w:rPr>
          <w:rFonts w:ascii="Times New Roman" w:eastAsia="Times New Roman" w:hAnsi="Times New Roman" w:cs="Times New Roman"/>
          <w:color w:val="000000"/>
          <w:sz w:val="24"/>
          <w:szCs w:val="24"/>
          <w:lang w:eastAsia="uk-UA"/>
        </w:rPr>
        <w:t>звернуто</w:t>
      </w:r>
      <w:proofErr w:type="spellEnd"/>
      <w:r w:rsidR="009F4687" w:rsidRPr="009E4EEF">
        <w:rPr>
          <w:rFonts w:ascii="Times New Roman" w:eastAsia="Times New Roman" w:hAnsi="Times New Roman" w:cs="Times New Roman"/>
          <w:color w:val="000000"/>
          <w:sz w:val="24"/>
          <w:szCs w:val="24"/>
          <w:lang w:eastAsia="uk-UA"/>
        </w:rPr>
        <w:t xml:space="preserve"> на пункт 5.6 розділу 5 Положення про порядок та методологію кваліфікаційного оцінювання, яким визначено вагу критеріїв та показників під час кваліфікаційного оцінювання</w:t>
      </w:r>
      <w:r w:rsidR="000A0534" w:rsidRPr="009E4EEF">
        <w:rPr>
          <w:rFonts w:ascii="Times New Roman" w:eastAsia="Times New Roman" w:hAnsi="Times New Roman" w:cs="Times New Roman"/>
          <w:color w:val="000000"/>
          <w:sz w:val="24"/>
          <w:szCs w:val="24"/>
          <w:lang w:eastAsia="uk-UA"/>
        </w:rPr>
        <w:t>:</w:t>
      </w:r>
      <w:r w:rsidR="009F4687" w:rsidRPr="009E4EEF">
        <w:rPr>
          <w:rFonts w:ascii="Times New Roman" w:eastAsia="Times New Roman" w:hAnsi="Times New Roman" w:cs="Times New Roman"/>
          <w:color w:val="000000"/>
          <w:sz w:val="24"/>
          <w:szCs w:val="24"/>
          <w:lang w:eastAsia="uk-UA"/>
        </w:rPr>
        <w:t xml:space="preserve">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009F4687" w:rsidRPr="009E4EEF">
        <w:rPr>
          <w:rFonts w:ascii="Times New Roman" w:eastAsia="Times New Roman" w:hAnsi="Times New Roman" w:cs="Times New Roman"/>
          <w:color w:val="000000"/>
          <w:sz w:val="24"/>
          <w:szCs w:val="24"/>
          <w:lang w:eastAsia="uk-UA"/>
        </w:rPr>
        <w:t>бала</w:t>
      </w:r>
      <w:proofErr w:type="spellEnd"/>
      <w:r w:rsidR="009F4687" w:rsidRPr="009E4EEF">
        <w:rPr>
          <w:rFonts w:ascii="Times New Roman" w:eastAsia="Times New Roman" w:hAnsi="Times New Roman" w:cs="Times New Roman"/>
          <w:color w:val="000000"/>
          <w:sz w:val="24"/>
          <w:szCs w:val="24"/>
          <w:lang w:eastAsia="uk-UA"/>
        </w:rPr>
        <w:t xml:space="preserve">, ефективна взаємодія – 12,5 </w:t>
      </w:r>
      <w:proofErr w:type="spellStart"/>
      <w:r w:rsidR="009F4687" w:rsidRPr="009E4EEF">
        <w:rPr>
          <w:rFonts w:ascii="Times New Roman" w:eastAsia="Times New Roman" w:hAnsi="Times New Roman" w:cs="Times New Roman"/>
          <w:color w:val="000000"/>
          <w:sz w:val="24"/>
          <w:szCs w:val="24"/>
          <w:lang w:eastAsia="uk-UA"/>
        </w:rPr>
        <w:t>бала</w:t>
      </w:r>
      <w:proofErr w:type="spellEnd"/>
      <w:r w:rsidR="009F4687" w:rsidRPr="009E4EEF">
        <w:rPr>
          <w:rFonts w:ascii="Times New Roman" w:eastAsia="Times New Roman" w:hAnsi="Times New Roman" w:cs="Times New Roman"/>
          <w:color w:val="000000"/>
          <w:sz w:val="24"/>
          <w:szCs w:val="24"/>
          <w:lang w:eastAsia="uk-UA"/>
        </w:rPr>
        <w:t>, стійкість мотивації – 12,5</w:t>
      </w:r>
      <w:r w:rsidR="00772CF6">
        <w:rPr>
          <w:rFonts w:ascii="Times New Roman" w:eastAsia="Times New Roman" w:hAnsi="Times New Roman" w:cs="Times New Roman"/>
          <w:color w:val="000000"/>
          <w:sz w:val="24"/>
          <w:szCs w:val="24"/>
          <w:lang w:eastAsia="uk-UA"/>
        </w:rPr>
        <w:t xml:space="preserve"> </w:t>
      </w:r>
      <w:proofErr w:type="spellStart"/>
      <w:r w:rsidR="009F4687" w:rsidRPr="009E4EEF">
        <w:rPr>
          <w:rFonts w:ascii="Times New Roman" w:eastAsia="Times New Roman" w:hAnsi="Times New Roman" w:cs="Times New Roman"/>
          <w:color w:val="000000"/>
          <w:sz w:val="24"/>
          <w:szCs w:val="24"/>
          <w:lang w:eastAsia="uk-UA"/>
        </w:rPr>
        <w:t>бала</w:t>
      </w:r>
      <w:proofErr w:type="spellEnd"/>
      <w:r w:rsidR="009F4687" w:rsidRPr="009E4EEF">
        <w:rPr>
          <w:rFonts w:ascii="Times New Roman" w:eastAsia="Times New Roman" w:hAnsi="Times New Roman" w:cs="Times New Roman"/>
          <w:color w:val="000000"/>
          <w:sz w:val="24"/>
          <w:szCs w:val="24"/>
          <w:lang w:eastAsia="uk-UA"/>
        </w:rPr>
        <w:t xml:space="preserve">, емоційна стійкість – 12,5 </w:t>
      </w:r>
      <w:proofErr w:type="spellStart"/>
      <w:r w:rsidR="009F4687" w:rsidRPr="009E4EEF">
        <w:rPr>
          <w:rFonts w:ascii="Times New Roman" w:eastAsia="Times New Roman" w:hAnsi="Times New Roman" w:cs="Times New Roman"/>
          <w:color w:val="000000"/>
          <w:sz w:val="24"/>
          <w:szCs w:val="24"/>
          <w:lang w:eastAsia="uk-UA"/>
        </w:rPr>
        <w:t>бала</w:t>
      </w:r>
      <w:proofErr w:type="spellEnd"/>
      <w:r w:rsidR="009F4687" w:rsidRPr="009E4EEF">
        <w:rPr>
          <w:rFonts w:ascii="Times New Roman" w:eastAsia="Times New Roman" w:hAnsi="Times New Roman" w:cs="Times New Roman"/>
          <w:color w:val="000000"/>
          <w:sz w:val="24"/>
          <w:szCs w:val="24"/>
          <w:lang w:eastAsia="uk-UA"/>
        </w:rPr>
        <w:t>). </w:t>
      </w:r>
    </w:p>
    <w:p w14:paraId="61527A0D" w14:textId="1D18EE89" w:rsidR="009F4687" w:rsidRPr="009E4EEF" w:rsidRDefault="009F4687" w:rsidP="009E4EEF">
      <w:pPr>
        <w:numPr>
          <w:ilvl w:val="0"/>
          <w:numId w:val="2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Кандидатом </w:t>
      </w:r>
      <w:proofErr w:type="spellStart"/>
      <w:r w:rsidRPr="009E4EEF">
        <w:rPr>
          <w:rFonts w:ascii="Times New Roman" w:eastAsia="Times New Roman" w:hAnsi="Times New Roman" w:cs="Times New Roman"/>
          <w:color w:val="000000"/>
          <w:sz w:val="24"/>
          <w:szCs w:val="24"/>
          <w:lang w:eastAsia="uk-UA"/>
        </w:rPr>
        <w:t>Бабаєвим</w:t>
      </w:r>
      <w:proofErr w:type="spellEnd"/>
      <w:r w:rsidRPr="009E4EEF">
        <w:rPr>
          <w:rFonts w:ascii="Times New Roman" w:eastAsia="Times New Roman" w:hAnsi="Times New Roman" w:cs="Times New Roman"/>
          <w:color w:val="000000"/>
          <w:sz w:val="24"/>
          <w:szCs w:val="24"/>
          <w:lang w:eastAsia="uk-UA"/>
        </w:rPr>
        <w:t xml:space="preserve"> А.І. 24 квітня 2025 року надіслано до Комісії пояснення та докази. У своїх поясненнях кандидат навів інформацію, яка, на його думку, підтверджує його відповідність показникам критерію особист</w:t>
      </w:r>
      <w:r w:rsidR="004473A0" w:rsidRPr="009E4EEF">
        <w:rPr>
          <w:rFonts w:ascii="Times New Roman" w:eastAsia="Times New Roman" w:hAnsi="Times New Roman" w:cs="Times New Roman"/>
          <w:color w:val="000000"/>
          <w:sz w:val="24"/>
          <w:szCs w:val="24"/>
          <w:lang w:eastAsia="uk-UA"/>
        </w:rPr>
        <w:t>ої</w:t>
      </w:r>
      <w:r w:rsidRPr="009E4EEF">
        <w:rPr>
          <w:rFonts w:ascii="Times New Roman" w:eastAsia="Times New Roman" w:hAnsi="Times New Roman" w:cs="Times New Roman"/>
          <w:color w:val="000000"/>
          <w:sz w:val="24"/>
          <w:szCs w:val="24"/>
          <w:lang w:eastAsia="uk-UA"/>
        </w:rPr>
        <w:t xml:space="preserve"> компетентн</w:t>
      </w:r>
      <w:r w:rsidR="004473A0" w:rsidRPr="009E4EEF">
        <w:rPr>
          <w:rFonts w:ascii="Times New Roman" w:eastAsia="Times New Roman" w:hAnsi="Times New Roman" w:cs="Times New Roman"/>
          <w:color w:val="000000"/>
          <w:sz w:val="24"/>
          <w:szCs w:val="24"/>
          <w:lang w:eastAsia="uk-UA"/>
        </w:rPr>
        <w:t>ості</w:t>
      </w:r>
      <w:r w:rsidRPr="009E4EEF">
        <w:rPr>
          <w:rFonts w:ascii="Times New Roman" w:eastAsia="Times New Roman" w:hAnsi="Times New Roman" w:cs="Times New Roman"/>
          <w:color w:val="000000"/>
          <w:sz w:val="24"/>
          <w:szCs w:val="24"/>
          <w:lang w:eastAsia="uk-UA"/>
        </w:rPr>
        <w:t>: «Рішучість та відповідальність», «Безперервний розвиток», та показникам критерію соціальн</w:t>
      </w:r>
      <w:r w:rsidR="004473A0" w:rsidRPr="009E4EEF">
        <w:rPr>
          <w:rFonts w:ascii="Times New Roman" w:eastAsia="Times New Roman" w:hAnsi="Times New Roman" w:cs="Times New Roman"/>
          <w:color w:val="000000"/>
          <w:sz w:val="24"/>
          <w:szCs w:val="24"/>
          <w:lang w:eastAsia="uk-UA"/>
        </w:rPr>
        <w:t>ої</w:t>
      </w:r>
      <w:r w:rsidRPr="009E4EEF">
        <w:rPr>
          <w:rFonts w:ascii="Times New Roman" w:eastAsia="Times New Roman" w:hAnsi="Times New Roman" w:cs="Times New Roman"/>
          <w:color w:val="000000"/>
          <w:sz w:val="24"/>
          <w:szCs w:val="24"/>
          <w:lang w:eastAsia="uk-UA"/>
        </w:rPr>
        <w:t xml:space="preserve"> компетентн</w:t>
      </w:r>
      <w:r w:rsidR="004473A0" w:rsidRPr="009E4EEF">
        <w:rPr>
          <w:rFonts w:ascii="Times New Roman" w:eastAsia="Times New Roman" w:hAnsi="Times New Roman" w:cs="Times New Roman"/>
          <w:color w:val="000000"/>
          <w:sz w:val="24"/>
          <w:szCs w:val="24"/>
          <w:lang w:eastAsia="uk-UA"/>
        </w:rPr>
        <w:t>ості</w:t>
      </w:r>
      <w:r w:rsidRPr="009E4EEF">
        <w:rPr>
          <w:rFonts w:ascii="Times New Roman" w:eastAsia="Times New Roman" w:hAnsi="Times New Roman" w:cs="Times New Roman"/>
          <w:color w:val="000000"/>
          <w:sz w:val="24"/>
          <w:szCs w:val="24"/>
          <w:lang w:eastAsia="uk-UA"/>
        </w:rPr>
        <w:t>: «Ефективна комунікація», «Ефективна взаємодія», «Стійкість мотивації», «Емоційна стійкість». </w:t>
      </w:r>
    </w:p>
    <w:p w14:paraId="34212F92" w14:textId="22D3EBF7" w:rsidR="009F4687" w:rsidRPr="009E4EEF" w:rsidRDefault="009F4687" w:rsidP="009E4EEF">
      <w:pPr>
        <w:numPr>
          <w:ilvl w:val="0"/>
          <w:numId w:val="2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До Комісії 05 травня 2025 року надійшов висновок Громадської ради доброчесності </w:t>
      </w:r>
      <w:r w:rsidR="00351A7A" w:rsidRPr="009E4EEF">
        <w:rPr>
          <w:rFonts w:ascii="Times New Roman" w:eastAsia="Times New Roman" w:hAnsi="Times New Roman" w:cs="Times New Roman"/>
          <w:color w:val="000000"/>
          <w:sz w:val="24"/>
          <w:szCs w:val="24"/>
          <w:lang w:eastAsia="uk-UA"/>
        </w:rPr>
        <w:t xml:space="preserve">(далі – ГРД) </w:t>
      </w:r>
      <w:r w:rsidRPr="009E4EEF">
        <w:rPr>
          <w:rFonts w:ascii="Times New Roman" w:eastAsia="Times New Roman" w:hAnsi="Times New Roman" w:cs="Times New Roman"/>
          <w:color w:val="000000"/>
          <w:sz w:val="24"/>
          <w:szCs w:val="24"/>
          <w:lang w:eastAsia="uk-UA"/>
        </w:rPr>
        <w:t xml:space="preserve">про невідповідність </w:t>
      </w:r>
      <w:r w:rsidR="00351A7A" w:rsidRPr="009E4EEF">
        <w:rPr>
          <w:rFonts w:ascii="Times New Roman" w:eastAsia="Times New Roman" w:hAnsi="Times New Roman" w:cs="Times New Roman"/>
          <w:color w:val="000000"/>
          <w:sz w:val="24"/>
          <w:szCs w:val="24"/>
          <w:lang w:eastAsia="uk-UA"/>
        </w:rPr>
        <w:t xml:space="preserve">кандидата на посаду судді апеляційного адміністративного суду </w:t>
      </w:r>
      <w:proofErr w:type="spellStart"/>
      <w:r w:rsidR="00351A7A" w:rsidRPr="009E4EEF">
        <w:rPr>
          <w:rFonts w:ascii="Times New Roman" w:eastAsia="Times New Roman" w:hAnsi="Times New Roman" w:cs="Times New Roman"/>
          <w:color w:val="000000"/>
          <w:sz w:val="24"/>
          <w:szCs w:val="24"/>
          <w:lang w:eastAsia="uk-UA"/>
        </w:rPr>
        <w:t>Бабаєва</w:t>
      </w:r>
      <w:proofErr w:type="spellEnd"/>
      <w:r w:rsidR="00351A7A" w:rsidRPr="009E4EEF">
        <w:rPr>
          <w:rFonts w:ascii="Times New Roman" w:eastAsia="Times New Roman" w:hAnsi="Times New Roman" w:cs="Times New Roman"/>
          <w:color w:val="000000"/>
          <w:sz w:val="24"/>
          <w:szCs w:val="24"/>
          <w:lang w:eastAsia="uk-UA"/>
        </w:rPr>
        <w:t xml:space="preserve"> А.І. </w:t>
      </w:r>
      <w:r w:rsidRPr="009E4EEF">
        <w:rPr>
          <w:rFonts w:ascii="Times New Roman" w:eastAsia="Times New Roman" w:hAnsi="Times New Roman" w:cs="Times New Roman"/>
          <w:color w:val="000000"/>
          <w:sz w:val="24"/>
          <w:szCs w:val="24"/>
          <w:lang w:eastAsia="uk-UA"/>
        </w:rPr>
        <w:t>критеріям професійної етики та доброчесності</w:t>
      </w:r>
      <w:r w:rsidR="00351A7A"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w:t>
      </w:r>
    </w:p>
    <w:p w14:paraId="782ACEA0" w14:textId="18BEFEBD" w:rsidR="009F4687" w:rsidRPr="009E4EEF" w:rsidRDefault="009F4687" w:rsidP="009E4EEF">
      <w:pPr>
        <w:numPr>
          <w:ilvl w:val="0"/>
          <w:numId w:val="2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Підставою для </w:t>
      </w:r>
      <w:r w:rsidR="00D64CE8"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исновку с</w:t>
      </w:r>
      <w:r w:rsidR="00D64CE8" w:rsidRPr="009E4EEF">
        <w:rPr>
          <w:rFonts w:ascii="Times New Roman" w:eastAsia="Times New Roman" w:hAnsi="Times New Roman" w:cs="Times New Roman"/>
          <w:color w:val="000000"/>
          <w:sz w:val="24"/>
          <w:szCs w:val="24"/>
          <w:lang w:eastAsia="uk-UA"/>
        </w:rPr>
        <w:t>тали</w:t>
      </w:r>
      <w:r w:rsidRPr="009E4EEF">
        <w:rPr>
          <w:rFonts w:ascii="Times New Roman" w:eastAsia="Times New Roman" w:hAnsi="Times New Roman" w:cs="Times New Roman"/>
          <w:color w:val="000000"/>
          <w:sz w:val="24"/>
          <w:szCs w:val="24"/>
          <w:lang w:eastAsia="uk-UA"/>
        </w:rPr>
        <w:t xml:space="preserve"> виявлені ГРД обставини. </w:t>
      </w:r>
    </w:p>
    <w:p w14:paraId="1D45C11F" w14:textId="29B4062F" w:rsidR="009F4687" w:rsidRPr="009E4EEF" w:rsidRDefault="009F4687" w:rsidP="009E4EEF">
      <w:pPr>
        <w:numPr>
          <w:ilvl w:val="0"/>
          <w:numId w:val="2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Кандидат на посаду судді не відповідає критеріям доброчесності та професійної етики за показником сумлінність, оскільки свавільно встановлював обмеження у реалізації </w:t>
      </w:r>
      <w:r w:rsidR="00CC66B8" w:rsidRPr="009E4EEF">
        <w:rPr>
          <w:rFonts w:ascii="Times New Roman" w:eastAsia="Times New Roman" w:hAnsi="Times New Roman" w:cs="Times New Roman"/>
          <w:color w:val="000000"/>
          <w:sz w:val="24"/>
          <w:szCs w:val="24"/>
          <w:lang w:eastAsia="uk-UA"/>
        </w:rPr>
        <w:t xml:space="preserve">основоположного </w:t>
      </w:r>
      <w:r w:rsidRPr="009E4EEF">
        <w:rPr>
          <w:rFonts w:ascii="Times New Roman" w:eastAsia="Times New Roman" w:hAnsi="Times New Roman" w:cs="Times New Roman"/>
          <w:color w:val="000000"/>
          <w:sz w:val="24"/>
          <w:szCs w:val="24"/>
          <w:lang w:eastAsia="uk-UA"/>
        </w:rPr>
        <w:t>права на мирні зібрання</w:t>
      </w:r>
      <w:r w:rsidR="00CC66B8" w:rsidRPr="009E4EEF">
        <w:rPr>
          <w:rFonts w:ascii="Times New Roman" w:eastAsia="Times New Roman" w:hAnsi="Times New Roman" w:cs="Times New Roman"/>
          <w:color w:val="000000"/>
          <w:sz w:val="24"/>
          <w:szCs w:val="24"/>
          <w:lang w:eastAsia="uk-UA"/>
        </w:rPr>
        <w:t>.</w:t>
      </w:r>
    </w:p>
    <w:p w14:paraId="180E7272" w14:textId="427AC4AE" w:rsidR="009F4687" w:rsidRPr="009E4EEF" w:rsidRDefault="009F4687" w:rsidP="009E4EEF">
      <w:pPr>
        <w:numPr>
          <w:ilvl w:val="0"/>
          <w:numId w:val="28"/>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lastRenderedPageBreak/>
        <w:t>Так, постановою від 01 червня 2012 року у справі №</w:t>
      </w:r>
      <w:r w:rsidR="00230FA4"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6576/12/2070 задоволено позов Харківської міської ради та обмежено право на збори шляхом заборони Харківському обласному осередку всеукраїнської молодіжної громадської організації «Молода Просвіта» в особі </w:t>
      </w:r>
      <w:r w:rsidR="00862C4A">
        <w:rPr>
          <w:rFonts w:ascii="Times New Roman" w:eastAsia="Times New Roman" w:hAnsi="Times New Roman" w:cs="Times New Roman"/>
          <w:color w:val="000000"/>
          <w:sz w:val="24"/>
          <w:szCs w:val="24"/>
          <w:lang w:eastAsia="uk-UA"/>
        </w:rPr>
        <w:t>ОСОБА_1</w:t>
      </w:r>
      <w:r w:rsidRPr="009E4EEF">
        <w:rPr>
          <w:rFonts w:ascii="Times New Roman" w:eastAsia="Times New Roman" w:hAnsi="Times New Roman" w:cs="Times New Roman"/>
          <w:color w:val="000000"/>
          <w:sz w:val="24"/>
          <w:szCs w:val="24"/>
          <w:lang w:eastAsia="uk-UA"/>
        </w:rPr>
        <w:t xml:space="preserve"> та іншим учасникам цієї акції проведення 05 червня 2012 року з 11.00 до 13.00 масов</w:t>
      </w:r>
      <w:r w:rsidR="00491BB5" w:rsidRPr="009E4EEF">
        <w:rPr>
          <w:rFonts w:ascii="Times New Roman" w:eastAsia="Times New Roman" w:hAnsi="Times New Roman" w:cs="Times New Roman"/>
          <w:color w:val="000000"/>
          <w:sz w:val="24"/>
          <w:szCs w:val="24"/>
          <w:lang w:eastAsia="uk-UA"/>
        </w:rPr>
        <w:t>ий</w:t>
      </w:r>
      <w:r w:rsidRPr="009E4EEF">
        <w:rPr>
          <w:rFonts w:ascii="Times New Roman" w:eastAsia="Times New Roman" w:hAnsi="Times New Roman" w:cs="Times New Roman"/>
          <w:color w:val="000000"/>
          <w:sz w:val="24"/>
          <w:szCs w:val="24"/>
          <w:lang w:eastAsia="uk-UA"/>
        </w:rPr>
        <w:t xml:space="preserve"> зах</w:t>
      </w:r>
      <w:r w:rsidR="00491BB5" w:rsidRPr="009E4EEF">
        <w:rPr>
          <w:rFonts w:ascii="Times New Roman" w:eastAsia="Times New Roman" w:hAnsi="Times New Roman" w:cs="Times New Roman"/>
          <w:color w:val="000000"/>
          <w:sz w:val="24"/>
          <w:szCs w:val="24"/>
          <w:lang w:eastAsia="uk-UA"/>
        </w:rPr>
        <w:t>ід</w:t>
      </w:r>
      <w:r w:rsidRPr="009E4EEF">
        <w:rPr>
          <w:rFonts w:ascii="Times New Roman" w:eastAsia="Times New Roman" w:hAnsi="Times New Roman" w:cs="Times New Roman"/>
          <w:color w:val="000000"/>
          <w:sz w:val="24"/>
          <w:szCs w:val="24"/>
          <w:lang w:eastAsia="uk-UA"/>
        </w:rPr>
        <w:t xml:space="preserve"> </w:t>
      </w:r>
      <w:r w:rsidR="00491BB5"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мітинг біля </w:t>
      </w:r>
      <w:r w:rsidR="00230FA4" w:rsidRPr="009E4EEF">
        <w:rPr>
          <w:rFonts w:ascii="Times New Roman" w:eastAsia="Times New Roman" w:hAnsi="Times New Roman" w:cs="Times New Roman"/>
          <w:color w:val="000000"/>
          <w:sz w:val="24"/>
          <w:szCs w:val="24"/>
          <w:lang w:eastAsia="uk-UA"/>
        </w:rPr>
        <w:t>пам’ятника</w:t>
      </w:r>
      <w:r w:rsidRPr="009E4EEF">
        <w:rPr>
          <w:rFonts w:ascii="Times New Roman" w:eastAsia="Times New Roman" w:hAnsi="Times New Roman" w:cs="Times New Roman"/>
          <w:color w:val="000000"/>
          <w:sz w:val="24"/>
          <w:szCs w:val="24"/>
          <w:lang w:eastAsia="uk-UA"/>
        </w:rPr>
        <w:t xml:space="preserve"> Т.Г. Шевченк</w:t>
      </w:r>
      <w:r w:rsidR="00F2000B" w:rsidRPr="009E4EEF">
        <w:rPr>
          <w:rFonts w:ascii="Times New Roman" w:eastAsia="Times New Roman" w:hAnsi="Times New Roman" w:cs="Times New Roman"/>
          <w:color w:val="000000"/>
          <w:sz w:val="24"/>
          <w:szCs w:val="24"/>
          <w:lang w:eastAsia="uk-UA"/>
        </w:rPr>
        <w:t>у</w:t>
      </w:r>
      <w:r w:rsidRPr="009E4EEF">
        <w:rPr>
          <w:rFonts w:ascii="Times New Roman" w:eastAsia="Times New Roman" w:hAnsi="Times New Roman" w:cs="Times New Roman"/>
          <w:color w:val="000000"/>
          <w:sz w:val="24"/>
          <w:szCs w:val="24"/>
          <w:lang w:eastAsia="uk-UA"/>
        </w:rPr>
        <w:t xml:space="preserve"> по вул. Сумській у місті Харкові. Ухвалою Харківського апеляційного суду від 20 червня 2012 року</w:t>
      </w:r>
      <w:r w:rsidR="00230FA4" w:rsidRPr="009E4EEF">
        <w:rPr>
          <w:rFonts w:ascii="Times New Roman" w:eastAsia="Times New Roman" w:hAnsi="Times New Roman" w:cs="Times New Roman"/>
          <w:color w:val="000000"/>
          <w:sz w:val="24"/>
          <w:szCs w:val="24"/>
          <w:lang w:eastAsia="uk-UA"/>
        </w:rPr>
        <w:t>. У</w:t>
      </w:r>
      <w:r w:rsidRPr="009E4EEF">
        <w:rPr>
          <w:rFonts w:ascii="Times New Roman" w:eastAsia="Times New Roman" w:hAnsi="Times New Roman" w:cs="Times New Roman"/>
          <w:color w:val="000000"/>
          <w:sz w:val="24"/>
          <w:szCs w:val="24"/>
          <w:lang w:eastAsia="uk-UA"/>
        </w:rPr>
        <w:t>хвалою Вищого адміністративного суду України від 14 вересня 2012 року рішення залишено без змін.</w:t>
      </w:r>
    </w:p>
    <w:p w14:paraId="7D492B05" w14:textId="4F8560A6" w:rsidR="009F4687" w:rsidRPr="009E4EEF" w:rsidRDefault="009F4687" w:rsidP="009E4EEF">
      <w:pPr>
        <w:numPr>
          <w:ilvl w:val="0"/>
          <w:numId w:val="29"/>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Постановою від 07 липня 2012 року у справі №</w:t>
      </w:r>
      <w:r w:rsidR="00E85C4D"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7962/12/2070 задоволено позов Харківської міської ради та обмежено право на збори шляхом заборони Червонозаводській районній партійній організації ВО «Батьківщина» в особі відповідального </w:t>
      </w:r>
      <w:r w:rsidR="00862C4A">
        <w:rPr>
          <w:rFonts w:ascii="Times New Roman" w:eastAsia="Times New Roman" w:hAnsi="Times New Roman" w:cs="Times New Roman"/>
          <w:color w:val="000000"/>
          <w:sz w:val="24"/>
          <w:szCs w:val="24"/>
          <w:lang w:eastAsia="uk-UA"/>
        </w:rPr>
        <w:t>ОСОБА_2</w:t>
      </w:r>
      <w:r w:rsidRPr="009E4EEF">
        <w:rPr>
          <w:rFonts w:ascii="Times New Roman" w:eastAsia="Times New Roman" w:hAnsi="Times New Roman" w:cs="Times New Roman"/>
          <w:color w:val="000000"/>
          <w:sz w:val="24"/>
          <w:szCs w:val="24"/>
          <w:lang w:eastAsia="uk-UA"/>
        </w:rPr>
        <w:t xml:space="preserve"> та іншим учасникам акції проведення 10 липня 2012 року з 08.00 безстрокової акції протесту у сквері на</w:t>
      </w:r>
      <w:r w:rsidR="00E85C4D"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проти будівлі апеляційного суду Харківської області на майдані Руднєва, б</w:t>
      </w:r>
      <w:r w:rsidR="00334234" w:rsidRPr="009E4EEF">
        <w:rPr>
          <w:rFonts w:ascii="Times New Roman" w:eastAsia="Times New Roman" w:hAnsi="Times New Roman" w:cs="Times New Roman"/>
          <w:color w:val="000000"/>
          <w:sz w:val="24"/>
          <w:szCs w:val="24"/>
          <w:lang w:eastAsia="uk-UA"/>
        </w:rPr>
        <w:t>уд</w:t>
      </w:r>
      <w:r w:rsidRPr="009E4EEF">
        <w:rPr>
          <w:rFonts w:ascii="Times New Roman" w:eastAsia="Times New Roman" w:hAnsi="Times New Roman" w:cs="Times New Roman"/>
          <w:color w:val="000000"/>
          <w:sz w:val="24"/>
          <w:szCs w:val="24"/>
          <w:lang w:eastAsia="uk-UA"/>
        </w:rPr>
        <w:t>. 36</w:t>
      </w:r>
      <w:r w:rsidR="00654BC2"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та прилеглої території у м</w:t>
      </w:r>
      <w:r w:rsidR="00334234" w:rsidRPr="009E4EEF">
        <w:rPr>
          <w:rFonts w:ascii="Times New Roman" w:eastAsia="Times New Roman" w:hAnsi="Times New Roman" w:cs="Times New Roman"/>
          <w:color w:val="000000"/>
          <w:sz w:val="24"/>
          <w:szCs w:val="24"/>
          <w:lang w:eastAsia="uk-UA"/>
        </w:rPr>
        <w:t>істі</w:t>
      </w:r>
      <w:r w:rsidRPr="009E4EEF">
        <w:rPr>
          <w:rFonts w:ascii="Times New Roman" w:eastAsia="Times New Roman" w:hAnsi="Times New Roman" w:cs="Times New Roman"/>
          <w:color w:val="000000"/>
          <w:sz w:val="24"/>
          <w:szCs w:val="24"/>
          <w:lang w:eastAsia="uk-UA"/>
        </w:rPr>
        <w:t xml:space="preserve"> Харкові зі встановленням наметів, сцени та використанням </w:t>
      </w:r>
      <w:proofErr w:type="spellStart"/>
      <w:r w:rsidRPr="009E4EEF">
        <w:rPr>
          <w:rFonts w:ascii="Times New Roman" w:eastAsia="Times New Roman" w:hAnsi="Times New Roman" w:cs="Times New Roman"/>
          <w:color w:val="000000"/>
          <w:sz w:val="24"/>
          <w:szCs w:val="24"/>
          <w:lang w:eastAsia="uk-UA"/>
        </w:rPr>
        <w:t>звукопідсилюючої</w:t>
      </w:r>
      <w:proofErr w:type="spellEnd"/>
      <w:r w:rsidRPr="009E4EEF">
        <w:rPr>
          <w:rFonts w:ascii="Times New Roman" w:eastAsia="Times New Roman" w:hAnsi="Times New Roman" w:cs="Times New Roman"/>
          <w:color w:val="000000"/>
          <w:sz w:val="24"/>
          <w:szCs w:val="24"/>
          <w:lang w:eastAsia="uk-UA"/>
        </w:rPr>
        <w:t xml:space="preserve"> апаратури. Рішення не оскаржувалось.</w:t>
      </w:r>
    </w:p>
    <w:p w14:paraId="7B045413" w14:textId="75A78A17" w:rsidR="009F4687" w:rsidRPr="009E4EEF" w:rsidRDefault="009F4687" w:rsidP="009E4EEF">
      <w:pPr>
        <w:numPr>
          <w:ilvl w:val="0"/>
          <w:numId w:val="30"/>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Постановою від 07 липня 2012 року у справі №7958/12/2070 задоволено позов Харківськ</w:t>
      </w:r>
      <w:bookmarkStart w:id="0" w:name="_GoBack"/>
      <w:bookmarkEnd w:id="0"/>
      <w:r w:rsidRPr="009E4EEF">
        <w:rPr>
          <w:rFonts w:ascii="Times New Roman" w:eastAsia="Times New Roman" w:hAnsi="Times New Roman" w:cs="Times New Roman"/>
          <w:color w:val="000000"/>
          <w:sz w:val="24"/>
          <w:szCs w:val="24"/>
          <w:lang w:eastAsia="uk-UA"/>
        </w:rPr>
        <w:t xml:space="preserve">ої міської ради та обмежено право на збори шляхом заборони </w:t>
      </w:r>
      <w:r w:rsidR="00862C4A">
        <w:rPr>
          <w:rFonts w:ascii="Times New Roman" w:eastAsia="Times New Roman" w:hAnsi="Times New Roman" w:cs="Times New Roman"/>
          <w:color w:val="000000"/>
          <w:sz w:val="24"/>
          <w:szCs w:val="24"/>
          <w:lang w:eastAsia="uk-UA"/>
        </w:rPr>
        <w:t>ОСОБА_3</w:t>
      </w:r>
      <w:r w:rsidRPr="009E4EEF">
        <w:rPr>
          <w:rFonts w:ascii="Times New Roman" w:eastAsia="Times New Roman" w:hAnsi="Times New Roman" w:cs="Times New Roman"/>
          <w:color w:val="000000"/>
          <w:sz w:val="24"/>
          <w:szCs w:val="24"/>
          <w:lang w:eastAsia="uk-UA"/>
        </w:rPr>
        <w:t xml:space="preserve"> та іншим учасникам цієї акції проведення 10 липня 2012 року з 08.00 безстрокової акції протесту у сквері на</w:t>
      </w:r>
      <w:r w:rsidR="00D31F19"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 xml:space="preserve">проти будівлі </w:t>
      </w:r>
      <w:r w:rsidR="00D31F19" w:rsidRPr="009E4EEF">
        <w:rPr>
          <w:rFonts w:ascii="Times New Roman" w:eastAsia="Times New Roman" w:hAnsi="Times New Roman" w:cs="Times New Roman"/>
          <w:color w:val="000000"/>
          <w:sz w:val="24"/>
          <w:szCs w:val="24"/>
          <w:lang w:eastAsia="uk-UA"/>
        </w:rPr>
        <w:t>А</w:t>
      </w:r>
      <w:r w:rsidRPr="009E4EEF">
        <w:rPr>
          <w:rFonts w:ascii="Times New Roman" w:eastAsia="Times New Roman" w:hAnsi="Times New Roman" w:cs="Times New Roman"/>
          <w:color w:val="000000"/>
          <w:sz w:val="24"/>
          <w:szCs w:val="24"/>
          <w:lang w:eastAsia="uk-UA"/>
        </w:rPr>
        <w:t>пеляційного суду Харківської області на майдані Руднєва, б</w:t>
      </w:r>
      <w:r w:rsidR="00066C54" w:rsidRPr="009E4EEF">
        <w:rPr>
          <w:rFonts w:ascii="Times New Roman" w:eastAsia="Times New Roman" w:hAnsi="Times New Roman" w:cs="Times New Roman"/>
          <w:color w:val="000000"/>
          <w:sz w:val="24"/>
          <w:szCs w:val="24"/>
          <w:lang w:eastAsia="uk-UA"/>
        </w:rPr>
        <w:t>уд</w:t>
      </w:r>
      <w:r w:rsidRPr="009E4EEF">
        <w:rPr>
          <w:rFonts w:ascii="Times New Roman" w:eastAsia="Times New Roman" w:hAnsi="Times New Roman" w:cs="Times New Roman"/>
          <w:color w:val="000000"/>
          <w:sz w:val="24"/>
          <w:szCs w:val="24"/>
          <w:lang w:eastAsia="uk-UA"/>
        </w:rPr>
        <w:t>. 36</w:t>
      </w:r>
      <w:r w:rsidR="00E85C4D"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та прилеглої території у місті Харкові. Ухвалою Харківського апеляційного суду від 12 липня 2012 року рішення залишено без змін.</w:t>
      </w:r>
    </w:p>
    <w:p w14:paraId="701A6771" w14:textId="7727549E" w:rsidR="009F4687" w:rsidRPr="009E4EEF" w:rsidRDefault="009F4687" w:rsidP="009E4EEF">
      <w:pPr>
        <w:numPr>
          <w:ilvl w:val="0"/>
          <w:numId w:val="31"/>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Постановою від 09 липня 2012 року у справі №</w:t>
      </w:r>
      <w:r w:rsidR="00E85C4D"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8027/12/2070 задоволено позов Харківської міської ради</w:t>
      </w:r>
      <w:r w:rsidRPr="009E4EEF">
        <w:rPr>
          <w:rFonts w:ascii="Times New Roman" w:eastAsia="Times New Roman" w:hAnsi="Times New Roman" w:cs="Times New Roman"/>
          <w:b/>
          <w:bCs/>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та обмежено право на збори шляхом заборони </w:t>
      </w:r>
      <w:r w:rsidR="00862C4A">
        <w:rPr>
          <w:rFonts w:ascii="Times New Roman" w:eastAsia="Times New Roman" w:hAnsi="Times New Roman" w:cs="Times New Roman"/>
          <w:color w:val="000000"/>
          <w:sz w:val="24"/>
          <w:szCs w:val="24"/>
          <w:lang w:eastAsia="uk-UA"/>
        </w:rPr>
        <w:t>ОСОБА_4</w:t>
      </w:r>
      <w:r w:rsidRPr="009E4EEF">
        <w:rPr>
          <w:rFonts w:ascii="Times New Roman" w:eastAsia="Times New Roman" w:hAnsi="Times New Roman" w:cs="Times New Roman"/>
          <w:color w:val="000000"/>
          <w:sz w:val="24"/>
          <w:szCs w:val="24"/>
          <w:lang w:eastAsia="uk-UA"/>
        </w:rPr>
        <w:t xml:space="preserve"> та іншим учасникам акції проведення 10 липня 2012 року з 08.00 до 19:00 год мирного зібрання зі встановленням сцени та використанням </w:t>
      </w:r>
      <w:proofErr w:type="spellStart"/>
      <w:r w:rsidRPr="009E4EEF">
        <w:rPr>
          <w:rFonts w:ascii="Times New Roman" w:eastAsia="Times New Roman" w:hAnsi="Times New Roman" w:cs="Times New Roman"/>
          <w:color w:val="000000"/>
          <w:sz w:val="24"/>
          <w:szCs w:val="24"/>
          <w:lang w:eastAsia="uk-UA"/>
        </w:rPr>
        <w:t>звукопідсилюючої</w:t>
      </w:r>
      <w:proofErr w:type="spellEnd"/>
      <w:r w:rsidRPr="009E4EEF">
        <w:rPr>
          <w:rFonts w:ascii="Times New Roman" w:eastAsia="Times New Roman" w:hAnsi="Times New Roman" w:cs="Times New Roman"/>
          <w:color w:val="000000"/>
          <w:sz w:val="24"/>
          <w:szCs w:val="24"/>
          <w:lang w:eastAsia="uk-UA"/>
        </w:rPr>
        <w:t xml:space="preserve"> апаратури у сквері на</w:t>
      </w:r>
      <w:r w:rsidR="00E85C4D"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 xml:space="preserve">проти будівлі </w:t>
      </w:r>
      <w:r w:rsidR="00654BC2" w:rsidRPr="009E4EEF">
        <w:rPr>
          <w:rFonts w:ascii="Times New Roman" w:eastAsia="Times New Roman" w:hAnsi="Times New Roman" w:cs="Times New Roman"/>
          <w:color w:val="000000"/>
          <w:sz w:val="24"/>
          <w:szCs w:val="24"/>
          <w:lang w:eastAsia="uk-UA"/>
        </w:rPr>
        <w:t>А</w:t>
      </w:r>
      <w:r w:rsidRPr="009E4EEF">
        <w:rPr>
          <w:rFonts w:ascii="Times New Roman" w:eastAsia="Times New Roman" w:hAnsi="Times New Roman" w:cs="Times New Roman"/>
          <w:color w:val="000000"/>
          <w:sz w:val="24"/>
          <w:szCs w:val="24"/>
          <w:lang w:eastAsia="uk-UA"/>
        </w:rPr>
        <w:t xml:space="preserve">пеляційного суду Харківської області та прилеглої території на майдані Руднєва, </w:t>
      </w:r>
      <w:r w:rsidR="00066C54" w:rsidRPr="009E4EEF">
        <w:rPr>
          <w:rFonts w:ascii="Times New Roman" w:eastAsia="Times New Roman" w:hAnsi="Times New Roman" w:cs="Times New Roman"/>
          <w:color w:val="000000"/>
          <w:sz w:val="24"/>
          <w:szCs w:val="24"/>
          <w:lang w:eastAsia="uk-UA"/>
        </w:rPr>
        <w:t>буд.</w:t>
      </w:r>
      <w:r w:rsidR="00862C4A">
        <w:rPr>
          <w:rFonts w:ascii="Times New Roman" w:eastAsia="Times New Roman" w:hAnsi="Times New Roman" w:cs="Times New Roman"/>
          <w:color w:val="000000"/>
          <w:sz w:val="24"/>
          <w:szCs w:val="24"/>
          <w:lang w:eastAsia="uk-UA"/>
        </w:rPr>
        <w:t> </w:t>
      </w:r>
      <w:r w:rsidRPr="009E4EEF">
        <w:rPr>
          <w:rFonts w:ascii="Times New Roman" w:eastAsia="Times New Roman" w:hAnsi="Times New Roman" w:cs="Times New Roman"/>
          <w:color w:val="000000"/>
          <w:sz w:val="24"/>
          <w:szCs w:val="24"/>
          <w:lang w:eastAsia="uk-UA"/>
        </w:rPr>
        <w:t>36</w:t>
      </w:r>
      <w:r w:rsidR="00654BC2"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у місті Харкові. Рішення не оскаржувалось.</w:t>
      </w:r>
    </w:p>
    <w:p w14:paraId="3FFF54B5" w14:textId="66677914" w:rsidR="009F4687" w:rsidRPr="009E4EEF" w:rsidRDefault="009F4687" w:rsidP="009E4EEF">
      <w:pPr>
        <w:numPr>
          <w:ilvl w:val="0"/>
          <w:numId w:val="32"/>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w:t>
      </w:r>
      <w:r w:rsidR="00A90D06" w:rsidRPr="009E4EEF">
        <w:rPr>
          <w:rFonts w:ascii="Times New Roman" w:eastAsia="Times New Roman" w:hAnsi="Times New Roman" w:cs="Times New Roman"/>
          <w:color w:val="000000"/>
          <w:sz w:val="24"/>
          <w:szCs w:val="24"/>
          <w:lang w:eastAsia="uk-UA"/>
        </w:rPr>
        <w:t>ою</w:t>
      </w:r>
      <w:r w:rsidRPr="009E4EEF">
        <w:rPr>
          <w:rFonts w:ascii="Times New Roman" w:eastAsia="Times New Roman" w:hAnsi="Times New Roman" w:cs="Times New Roman"/>
          <w:color w:val="000000"/>
          <w:sz w:val="24"/>
          <w:szCs w:val="24"/>
          <w:lang w:eastAsia="uk-UA"/>
        </w:rPr>
        <w:t xml:space="preserve"> від 07 вересня 2012 року у справі №</w:t>
      </w:r>
      <w:r w:rsidR="00A90D06"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10134/12/2070 задоволено позов Харківської міської ради та обмежено право на збори шляхом заборони </w:t>
      </w:r>
      <w:r w:rsidR="00862C4A">
        <w:rPr>
          <w:rFonts w:ascii="Times New Roman" w:eastAsia="Times New Roman" w:hAnsi="Times New Roman" w:cs="Times New Roman"/>
          <w:color w:val="000000"/>
          <w:sz w:val="24"/>
          <w:szCs w:val="24"/>
          <w:lang w:eastAsia="uk-UA"/>
        </w:rPr>
        <w:t>ОСОБА_5</w:t>
      </w:r>
      <w:r w:rsidRPr="009E4EEF">
        <w:rPr>
          <w:rFonts w:ascii="Times New Roman" w:eastAsia="Times New Roman" w:hAnsi="Times New Roman" w:cs="Times New Roman"/>
          <w:color w:val="000000"/>
          <w:sz w:val="24"/>
          <w:szCs w:val="24"/>
          <w:lang w:eastAsia="uk-UA"/>
        </w:rPr>
        <w:t xml:space="preserve"> та іншим учасникам цієї акції проведення 08</w:t>
      </w:r>
      <w:r w:rsidR="00862C4A">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вересня 2012 року з 10.30 до 15.00 масового заходу </w:t>
      </w:r>
      <w:r w:rsidR="00A90D06"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мирної акції «Харкове, </w:t>
      </w:r>
      <w:proofErr w:type="spellStart"/>
      <w:r w:rsidRPr="009E4EEF">
        <w:rPr>
          <w:rFonts w:ascii="Times New Roman" w:eastAsia="Times New Roman" w:hAnsi="Times New Roman" w:cs="Times New Roman"/>
          <w:color w:val="000000"/>
          <w:sz w:val="24"/>
          <w:szCs w:val="24"/>
          <w:lang w:eastAsia="uk-UA"/>
        </w:rPr>
        <w:t>вставай</w:t>
      </w:r>
      <w:proofErr w:type="spellEnd"/>
      <w:r w:rsidRPr="009E4EEF">
        <w:rPr>
          <w:rFonts w:ascii="Times New Roman" w:eastAsia="Times New Roman" w:hAnsi="Times New Roman" w:cs="Times New Roman"/>
          <w:color w:val="000000"/>
          <w:sz w:val="24"/>
          <w:szCs w:val="24"/>
          <w:lang w:eastAsia="uk-UA"/>
        </w:rPr>
        <w:t xml:space="preserve"> на захист </w:t>
      </w:r>
      <w:proofErr w:type="spellStart"/>
      <w:r w:rsidRPr="009E4EEF">
        <w:rPr>
          <w:rFonts w:ascii="Times New Roman" w:eastAsia="Times New Roman" w:hAnsi="Times New Roman" w:cs="Times New Roman"/>
          <w:color w:val="000000"/>
          <w:sz w:val="24"/>
          <w:szCs w:val="24"/>
          <w:lang w:eastAsia="uk-UA"/>
        </w:rPr>
        <w:t>ТВі</w:t>
      </w:r>
      <w:proofErr w:type="spellEnd"/>
      <w:r w:rsidRPr="009E4EEF">
        <w:rPr>
          <w:rFonts w:ascii="Times New Roman" w:eastAsia="Times New Roman" w:hAnsi="Times New Roman" w:cs="Times New Roman"/>
          <w:color w:val="000000"/>
          <w:sz w:val="24"/>
          <w:szCs w:val="24"/>
          <w:lang w:eastAsia="uk-UA"/>
        </w:rPr>
        <w:t xml:space="preserve">!» за </w:t>
      </w:r>
      <w:proofErr w:type="spellStart"/>
      <w:r w:rsidRPr="009E4EEF">
        <w:rPr>
          <w:rFonts w:ascii="Times New Roman" w:eastAsia="Times New Roman" w:hAnsi="Times New Roman" w:cs="Times New Roman"/>
          <w:color w:val="000000"/>
          <w:sz w:val="24"/>
          <w:szCs w:val="24"/>
          <w:lang w:eastAsia="uk-UA"/>
        </w:rPr>
        <w:t>адресою</w:t>
      </w:r>
      <w:proofErr w:type="spellEnd"/>
      <w:r w:rsidRPr="009E4EEF">
        <w:rPr>
          <w:rFonts w:ascii="Times New Roman" w:eastAsia="Times New Roman" w:hAnsi="Times New Roman" w:cs="Times New Roman"/>
          <w:color w:val="000000"/>
          <w:sz w:val="24"/>
          <w:szCs w:val="24"/>
          <w:lang w:eastAsia="uk-UA"/>
        </w:rPr>
        <w:t>: м. Харків, площа Свободи. Рішення не оскаржувалось.</w:t>
      </w:r>
    </w:p>
    <w:p w14:paraId="41618AEE" w14:textId="0EAD6198" w:rsidR="009F4687" w:rsidRPr="009E4EEF" w:rsidRDefault="009F4687" w:rsidP="009E4EEF">
      <w:pPr>
        <w:numPr>
          <w:ilvl w:val="0"/>
          <w:numId w:val="33"/>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Постановою від 12 листопада 2013 року у справі № 820/11079/13-а задоволено позов Харківської міської ради та обмежено право на збори шляхом заборони Харківській міській організації Всеукраїнського </w:t>
      </w:r>
      <w:r w:rsidR="00625380" w:rsidRPr="009E4EEF">
        <w:rPr>
          <w:rFonts w:ascii="Times New Roman" w:eastAsia="Times New Roman" w:hAnsi="Times New Roman" w:cs="Times New Roman"/>
          <w:color w:val="000000"/>
          <w:sz w:val="24"/>
          <w:szCs w:val="24"/>
          <w:lang w:eastAsia="uk-UA"/>
        </w:rPr>
        <w:t>об’єднання «</w:t>
      </w:r>
      <w:r w:rsidRPr="009E4EEF">
        <w:rPr>
          <w:rFonts w:ascii="Times New Roman" w:eastAsia="Times New Roman" w:hAnsi="Times New Roman" w:cs="Times New Roman"/>
          <w:color w:val="000000"/>
          <w:sz w:val="24"/>
          <w:szCs w:val="24"/>
          <w:lang w:eastAsia="uk-UA"/>
        </w:rPr>
        <w:t>Свобода</w:t>
      </w:r>
      <w:r w:rsidR="00625380"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в особі голови </w:t>
      </w:r>
      <w:r w:rsidR="00862C4A">
        <w:rPr>
          <w:rFonts w:ascii="Times New Roman" w:eastAsia="Times New Roman" w:hAnsi="Times New Roman" w:cs="Times New Roman"/>
          <w:color w:val="000000"/>
          <w:sz w:val="24"/>
          <w:szCs w:val="24"/>
          <w:lang w:eastAsia="uk-UA"/>
        </w:rPr>
        <w:t>ОСОБА_6</w:t>
      </w:r>
      <w:r w:rsidRPr="009E4EEF">
        <w:rPr>
          <w:rFonts w:ascii="Times New Roman" w:eastAsia="Times New Roman" w:hAnsi="Times New Roman" w:cs="Times New Roman"/>
          <w:color w:val="000000"/>
          <w:sz w:val="24"/>
          <w:szCs w:val="24"/>
          <w:lang w:eastAsia="uk-UA"/>
        </w:rPr>
        <w:t xml:space="preserve"> та іншим учасникам акції встановлення з 13 листопада 2013 року до 31 грудня 2013 року агітаційних наметів для розповсюдження друкованої продукції Всеукраїнського </w:t>
      </w:r>
      <w:r w:rsidR="00625380" w:rsidRPr="009E4EEF">
        <w:rPr>
          <w:rFonts w:ascii="Times New Roman" w:eastAsia="Times New Roman" w:hAnsi="Times New Roman" w:cs="Times New Roman"/>
          <w:color w:val="000000"/>
          <w:sz w:val="24"/>
          <w:szCs w:val="24"/>
          <w:lang w:eastAsia="uk-UA"/>
        </w:rPr>
        <w:t>об’єднання</w:t>
      </w:r>
      <w:r w:rsidRPr="009E4EEF">
        <w:rPr>
          <w:rFonts w:ascii="Times New Roman" w:eastAsia="Times New Roman" w:hAnsi="Times New Roman" w:cs="Times New Roman"/>
          <w:color w:val="000000"/>
          <w:sz w:val="24"/>
          <w:szCs w:val="24"/>
          <w:lang w:eastAsia="uk-UA"/>
        </w:rPr>
        <w:t xml:space="preserve"> </w:t>
      </w:r>
      <w:r w:rsidR="00625380"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Свобода</w:t>
      </w:r>
      <w:r w:rsidR="00625380"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за </w:t>
      </w:r>
      <w:proofErr w:type="spellStart"/>
      <w:r w:rsidRPr="009E4EEF">
        <w:rPr>
          <w:rFonts w:ascii="Times New Roman" w:eastAsia="Times New Roman" w:hAnsi="Times New Roman" w:cs="Times New Roman"/>
          <w:color w:val="000000"/>
          <w:sz w:val="24"/>
          <w:szCs w:val="24"/>
          <w:lang w:eastAsia="uk-UA"/>
        </w:rPr>
        <w:t>адресою</w:t>
      </w:r>
      <w:proofErr w:type="spellEnd"/>
      <w:r w:rsidRPr="009E4EEF">
        <w:rPr>
          <w:rFonts w:ascii="Times New Roman" w:eastAsia="Times New Roman" w:hAnsi="Times New Roman" w:cs="Times New Roman"/>
          <w:color w:val="000000"/>
          <w:sz w:val="24"/>
          <w:szCs w:val="24"/>
          <w:lang w:eastAsia="uk-UA"/>
        </w:rPr>
        <w:t>: м. Харків, вул. Сумська, сквер Перемоги (за Дзеркальним струменем). Рішення не оскаржувалось.</w:t>
      </w:r>
    </w:p>
    <w:p w14:paraId="561BAADF" w14:textId="50A3C2CF" w:rsidR="009F4687" w:rsidRPr="009E4EEF" w:rsidRDefault="009F4687" w:rsidP="009E4EEF">
      <w:pPr>
        <w:numPr>
          <w:ilvl w:val="0"/>
          <w:numId w:val="34"/>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На думку ГРД, рішення підтримують усталену </w:t>
      </w:r>
      <w:r w:rsidR="0092211F" w:rsidRPr="009E4EEF">
        <w:rPr>
          <w:rFonts w:ascii="Times New Roman" w:eastAsia="Times New Roman" w:hAnsi="Times New Roman" w:cs="Times New Roman"/>
          <w:color w:val="000000"/>
          <w:sz w:val="24"/>
          <w:szCs w:val="24"/>
          <w:lang w:eastAsia="uk-UA"/>
        </w:rPr>
        <w:t xml:space="preserve">в той період </w:t>
      </w:r>
      <w:r w:rsidRPr="009E4EEF">
        <w:rPr>
          <w:rFonts w:ascii="Times New Roman" w:eastAsia="Times New Roman" w:hAnsi="Times New Roman" w:cs="Times New Roman"/>
          <w:color w:val="000000"/>
          <w:sz w:val="24"/>
          <w:szCs w:val="24"/>
          <w:lang w:eastAsia="uk-UA"/>
        </w:rPr>
        <w:t>практику Харківської міської ради забороняти будь-які «умовно опозиційні» акції протесту, посилаючись на: строк пода</w:t>
      </w:r>
      <w:r w:rsidR="0092211F" w:rsidRPr="009E4EEF">
        <w:rPr>
          <w:rFonts w:ascii="Times New Roman" w:eastAsia="Times New Roman" w:hAnsi="Times New Roman" w:cs="Times New Roman"/>
          <w:color w:val="000000"/>
          <w:sz w:val="24"/>
          <w:szCs w:val="24"/>
          <w:lang w:eastAsia="uk-UA"/>
        </w:rPr>
        <w:t>ння</w:t>
      </w:r>
      <w:r w:rsidRPr="009E4EEF">
        <w:rPr>
          <w:rFonts w:ascii="Times New Roman" w:eastAsia="Times New Roman" w:hAnsi="Times New Roman" w:cs="Times New Roman"/>
          <w:color w:val="000000"/>
          <w:sz w:val="24"/>
          <w:szCs w:val="24"/>
          <w:lang w:eastAsia="uk-UA"/>
        </w:rPr>
        <w:t xml:space="preserve"> повідомлення про проведення масового заходу; неготовність місцевої влади підтримувати громадський порядок </w:t>
      </w:r>
      <w:r w:rsidR="0092211F" w:rsidRPr="009E4EEF">
        <w:rPr>
          <w:rFonts w:ascii="Times New Roman" w:eastAsia="Times New Roman" w:hAnsi="Times New Roman" w:cs="Times New Roman"/>
          <w:color w:val="000000"/>
          <w:sz w:val="24"/>
          <w:szCs w:val="24"/>
          <w:lang w:eastAsia="uk-UA"/>
        </w:rPr>
        <w:t>під час</w:t>
      </w:r>
      <w:r w:rsidRPr="009E4EEF">
        <w:rPr>
          <w:rFonts w:ascii="Times New Roman" w:eastAsia="Times New Roman" w:hAnsi="Times New Roman" w:cs="Times New Roman"/>
          <w:color w:val="000000"/>
          <w:sz w:val="24"/>
          <w:szCs w:val="24"/>
          <w:lang w:eastAsia="uk-UA"/>
        </w:rPr>
        <w:t xml:space="preserve"> проведення акції; створення акцією протесту перешкод руху транспорту і пасажирів (</w:t>
      </w:r>
      <w:r w:rsidR="00391836" w:rsidRPr="009E4EEF">
        <w:rPr>
          <w:rFonts w:ascii="Times New Roman" w:eastAsia="Times New Roman" w:hAnsi="Times New Roman" w:cs="Times New Roman"/>
          <w:color w:val="000000"/>
          <w:sz w:val="24"/>
          <w:szCs w:val="24"/>
          <w:lang w:eastAsia="uk-UA"/>
        </w:rPr>
        <w:t>водно</w:t>
      </w:r>
      <w:r w:rsidRPr="009E4EEF">
        <w:rPr>
          <w:rFonts w:ascii="Times New Roman" w:eastAsia="Times New Roman" w:hAnsi="Times New Roman" w:cs="Times New Roman"/>
          <w:color w:val="000000"/>
          <w:sz w:val="24"/>
          <w:szCs w:val="24"/>
          <w:lang w:eastAsia="uk-UA"/>
        </w:rPr>
        <w:t xml:space="preserve">час акції </w:t>
      </w:r>
      <w:r w:rsidR="00391836" w:rsidRPr="009E4EEF">
        <w:rPr>
          <w:rFonts w:ascii="Times New Roman" w:eastAsia="Times New Roman" w:hAnsi="Times New Roman" w:cs="Times New Roman"/>
          <w:color w:val="000000"/>
          <w:sz w:val="24"/>
          <w:szCs w:val="24"/>
          <w:lang w:eastAsia="uk-UA"/>
        </w:rPr>
        <w:t xml:space="preserve">переважно </w:t>
      </w:r>
      <w:r w:rsidRPr="009E4EEF">
        <w:rPr>
          <w:rFonts w:ascii="Times New Roman" w:eastAsia="Times New Roman" w:hAnsi="Times New Roman" w:cs="Times New Roman"/>
          <w:color w:val="000000"/>
          <w:sz w:val="24"/>
          <w:szCs w:val="24"/>
          <w:lang w:eastAsia="uk-UA"/>
        </w:rPr>
        <w:t xml:space="preserve">планувались у парках і скверах); </w:t>
      </w:r>
      <w:proofErr w:type="spellStart"/>
      <w:r w:rsidRPr="009E4EEF">
        <w:rPr>
          <w:rFonts w:ascii="Times New Roman" w:eastAsia="Times New Roman" w:hAnsi="Times New Roman" w:cs="Times New Roman"/>
          <w:color w:val="000000"/>
          <w:sz w:val="24"/>
          <w:szCs w:val="24"/>
          <w:lang w:eastAsia="uk-UA"/>
        </w:rPr>
        <w:t>ненаведення</w:t>
      </w:r>
      <w:proofErr w:type="spellEnd"/>
      <w:r w:rsidRPr="009E4EEF">
        <w:rPr>
          <w:rFonts w:ascii="Times New Roman" w:eastAsia="Times New Roman" w:hAnsi="Times New Roman" w:cs="Times New Roman"/>
          <w:color w:val="000000"/>
          <w:sz w:val="24"/>
          <w:szCs w:val="24"/>
          <w:lang w:eastAsia="uk-UA"/>
        </w:rPr>
        <w:t xml:space="preserve"> в заявці конкретних заходів, які вживати</w:t>
      </w:r>
      <w:r w:rsidR="00391836" w:rsidRPr="009E4EEF">
        <w:rPr>
          <w:rFonts w:ascii="Times New Roman" w:eastAsia="Times New Roman" w:hAnsi="Times New Roman" w:cs="Times New Roman"/>
          <w:color w:val="000000"/>
          <w:sz w:val="24"/>
          <w:szCs w:val="24"/>
          <w:lang w:eastAsia="uk-UA"/>
        </w:rPr>
        <w:t>муться</w:t>
      </w:r>
      <w:r w:rsidRPr="009E4EEF">
        <w:rPr>
          <w:rFonts w:ascii="Times New Roman" w:eastAsia="Times New Roman" w:hAnsi="Times New Roman" w:cs="Times New Roman"/>
          <w:color w:val="000000"/>
          <w:sz w:val="24"/>
          <w:szCs w:val="24"/>
          <w:lang w:eastAsia="uk-UA"/>
        </w:rPr>
        <w:t xml:space="preserve"> організаторами для забезпечення громадського порядку; планування акції будь-де</w:t>
      </w:r>
      <w:r w:rsidR="00391836"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крім трьох дозволених зон.</w:t>
      </w:r>
    </w:p>
    <w:p w14:paraId="7E7701C1" w14:textId="771153A5" w:rsidR="009F4687" w:rsidRPr="009E4EEF" w:rsidRDefault="009F4687" w:rsidP="009E4EEF">
      <w:pPr>
        <w:numPr>
          <w:ilvl w:val="0"/>
          <w:numId w:val="3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В жодному з рішень суду не йдеться про те, що позивачу </w:t>
      </w:r>
      <w:r w:rsidR="006A18C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Харківській міській раді чи суду відомо про реальні обставини, які свідчать про загрозу заворушень чи вчинення злочинів, загрозу здоров’ю населення або захисту прав і свобод інших людей.</w:t>
      </w:r>
    </w:p>
    <w:p w14:paraId="368B33AA" w14:textId="76BA3A6A" w:rsidR="009F4687" w:rsidRPr="009E4EEF" w:rsidRDefault="009F4687" w:rsidP="009E4EEF">
      <w:pPr>
        <w:numPr>
          <w:ilvl w:val="0"/>
          <w:numId w:val="3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ГРД вважає, що при ухваленні рішення суддею не враховано принцип</w:t>
      </w:r>
      <w:r w:rsidR="003F451F" w:rsidRPr="009E4EEF">
        <w:rPr>
          <w:rFonts w:ascii="Times New Roman" w:eastAsia="Times New Roman" w:hAnsi="Times New Roman" w:cs="Times New Roman"/>
          <w:color w:val="000000"/>
          <w:sz w:val="24"/>
          <w:szCs w:val="24"/>
          <w:lang w:eastAsia="uk-UA"/>
        </w:rPr>
        <w:t>у</w:t>
      </w:r>
      <w:r w:rsidRPr="009E4EEF">
        <w:rPr>
          <w:rFonts w:ascii="Times New Roman" w:eastAsia="Times New Roman" w:hAnsi="Times New Roman" w:cs="Times New Roman"/>
          <w:color w:val="000000"/>
          <w:sz w:val="24"/>
          <w:szCs w:val="24"/>
          <w:lang w:eastAsia="uk-UA"/>
        </w:rPr>
        <w:t xml:space="preserve"> пропорційності втручання та незрозуміл</w:t>
      </w:r>
      <w:r w:rsidR="003F451F" w:rsidRPr="009E4EEF">
        <w:rPr>
          <w:rFonts w:ascii="Times New Roman" w:eastAsia="Times New Roman" w:hAnsi="Times New Roman" w:cs="Times New Roman"/>
          <w:color w:val="000000"/>
          <w:sz w:val="24"/>
          <w:szCs w:val="24"/>
          <w:lang w:eastAsia="uk-UA"/>
        </w:rPr>
        <w:t>о,</w:t>
      </w:r>
      <w:r w:rsidRPr="009E4EEF">
        <w:rPr>
          <w:rFonts w:ascii="Times New Roman" w:eastAsia="Times New Roman" w:hAnsi="Times New Roman" w:cs="Times New Roman"/>
          <w:color w:val="000000"/>
          <w:sz w:val="24"/>
          <w:szCs w:val="24"/>
          <w:lang w:eastAsia="uk-UA"/>
        </w:rPr>
        <w:t xml:space="preserve"> які саме докази досліджувались судом та стали вирішальними для обмеження права на мирні зібрання.</w:t>
      </w:r>
    </w:p>
    <w:p w14:paraId="1549BFA0" w14:textId="1546AE47" w:rsidR="009F4687" w:rsidRPr="009E4EEF" w:rsidRDefault="009F4687" w:rsidP="009E4EEF">
      <w:pPr>
        <w:numPr>
          <w:ilvl w:val="0"/>
          <w:numId w:val="3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lastRenderedPageBreak/>
        <w:t xml:space="preserve">У своїх поясненнях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вказав, що рішення ухвалювались не свавільно, а на підставі норм Кодексу адміністративного судочинства України, доказів</w:t>
      </w:r>
      <w:r w:rsidR="00F836FD"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наявних </w:t>
      </w:r>
      <w:r w:rsidR="00F836FD" w:rsidRPr="009E4EEF">
        <w:rPr>
          <w:rFonts w:ascii="Times New Roman" w:eastAsia="Times New Roman" w:hAnsi="Times New Roman" w:cs="Times New Roman"/>
          <w:color w:val="000000"/>
          <w:sz w:val="24"/>
          <w:szCs w:val="24"/>
          <w:lang w:eastAsia="uk-UA"/>
        </w:rPr>
        <w:t>у</w:t>
      </w:r>
      <w:r w:rsidRPr="009E4EEF">
        <w:rPr>
          <w:rFonts w:ascii="Times New Roman" w:eastAsia="Times New Roman" w:hAnsi="Times New Roman" w:cs="Times New Roman"/>
          <w:color w:val="000000"/>
          <w:sz w:val="24"/>
          <w:szCs w:val="24"/>
          <w:lang w:eastAsia="uk-UA"/>
        </w:rPr>
        <w:t xml:space="preserve"> матеріалах справ та сформованої судової практики.</w:t>
      </w:r>
    </w:p>
    <w:p w14:paraId="49491FD0" w14:textId="6BD43EFB" w:rsidR="009F4687" w:rsidRPr="009E4EEF" w:rsidRDefault="009F4687" w:rsidP="009E4EEF">
      <w:pPr>
        <w:numPr>
          <w:ilvl w:val="0"/>
          <w:numId w:val="3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Кандидат на посаду судді не відповідає критеріям доброчесності та професійної етики за показником </w:t>
      </w:r>
      <w:r w:rsidR="00F836FD"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дотримання етичних норм і бездоганна поведінка у професійній діяльності та особистому житті</w:t>
      </w:r>
      <w:r w:rsidR="00F836FD"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оскільки суддя, члени сім’ї, близькі родичі судді без нагальної потреби відвідува</w:t>
      </w:r>
      <w:r w:rsidR="00F836FD" w:rsidRPr="009E4EEF">
        <w:rPr>
          <w:rFonts w:ascii="Times New Roman" w:eastAsia="Times New Roman" w:hAnsi="Times New Roman" w:cs="Times New Roman"/>
          <w:color w:val="000000"/>
          <w:sz w:val="24"/>
          <w:szCs w:val="24"/>
          <w:lang w:eastAsia="uk-UA"/>
        </w:rPr>
        <w:t>ли російську федерацію</w:t>
      </w:r>
      <w:r w:rsidRPr="009E4EEF">
        <w:rPr>
          <w:rFonts w:ascii="Times New Roman" w:eastAsia="Times New Roman" w:hAnsi="Times New Roman" w:cs="Times New Roman"/>
          <w:color w:val="000000"/>
          <w:sz w:val="24"/>
          <w:szCs w:val="24"/>
          <w:lang w:eastAsia="uk-UA"/>
        </w:rPr>
        <w:t xml:space="preserve"> після початку збройної агресії</w:t>
      </w:r>
      <w:r w:rsidR="00C14563" w:rsidRPr="009E4EEF">
        <w:rPr>
          <w:rFonts w:ascii="Times New Roman" w:eastAsia="Times New Roman" w:hAnsi="Times New Roman" w:cs="Times New Roman"/>
          <w:color w:val="000000"/>
          <w:sz w:val="24"/>
          <w:szCs w:val="24"/>
          <w:lang w:eastAsia="uk-UA"/>
        </w:rPr>
        <w:t xml:space="preserve"> та</w:t>
      </w:r>
      <w:r w:rsidRPr="009E4EEF">
        <w:rPr>
          <w:rFonts w:ascii="Times New Roman" w:eastAsia="Times New Roman" w:hAnsi="Times New Roman" w:cs="Times New Roman"/>
          <w:color w:val="000000"/>
          <w:sz w:val="24"/>
          <w:szCs w:val="24"/>
          <w:lang w:eastAsia="uk-UA"/>
        </w:rPr>
        <w:t xml:space="preserve"> тимчасово окуповані території.</w:t>
      </w:r>
    </w:p>
    <w:p w14:paraId="15563B5E" w14:textId="48811646" w:rsidR="009F4687" w:rsidRPr="009E4EEF" w:rsidRDefault="009F4687" w:rsidP="009E4EEF">
      <w:pPr>
        <w:numPr>
          <w:ilvl w:val="0"/>
          <w:numId w:val="3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Додатково ГРД надало Комісії інформацію, яка сама по собі не стала підставою для висновку, але потребувала пояснень у судді. </w:t>
      </w:r>
    </w:p>
    <w:p w14:paraId="28303F98" w14:textId="02F35B1B" w:rsidR="009F4687" w:rsidRPr="009E4EEF" w:rsidRDefault="009F4687" w:rsidP="009E4EEF">
      <w:pPr>
        <w:numPr>
          <w:ilvl w:val="0"/>
          <w:numId w:val="4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Зокрема, суддя у деклараціях особи, уповноваженої на виконання функцій держави або місцевого самоврядування, починаючи з 2016 року зазначає, що є членом ГО «Всеукраїнська асоціація адміністративних суддів». 27 липня 2021 року кілька суддівських організацій, в тому числі, ГО «Всеукраїнська асоціація адміністративних суддів», звернулись із відкритим </w:t>
      </w:r>
      <w:r w:rsidR="00C14563" w:rsidRPr="009E4EEF">
        <w:rPr>
          <w:rFonts w:ascii="Times New Roman" w:eastAsia="Times New Roman" w:hAnsi="Times New Roman" w:cs="Times New Roman"/>
          <w:color w:val="000000"/>
          <w:sz w:val="24"/>
          <w:szCs w:val="24"/>
          <w:lang w:eastAsia="uk-UA"/>
        </w:rPr>
        <w:t>листом</w:t>
      </w:r>
      <w:r w:rsidRPr="009E4EEF">
        <w:rPr>
          <w:rFonts w:ascii="Times New Roman" w:eastAsia="Times New Roman" w:hAnsi="Times New Roman" w:cs="Times New Roman"/>
          <w:color w:val="000000"/>
          <w:sz w:val="24"/>
          <w:szCs w:val="24"/>
          <w:lang w:eastAsia="uk-UA"/>
        </w:rPr>
        <w:t xml:space="preserve"> до </w:t>
      </w:r>
      <w:r w:rsidR="00167D49" w:rsidRPr="009E4EEF">
        <w:rPr>
          <w:rFonts w:ascii="Times New Roman" w:eastAsia="Times New Roman" w:hAnsi="Times New Roman" w:cs="Times New Roman"/>
          <w:color w:val="000000"/>
          <w:sz w:val="24"/>
          <w:szCs w:val="24"/>
          <w:lang w:eastAsia="uk-UA"/>
        </w:rPr>
        <w:t>Президента України</w:t>
      </w:r>
      <w:r w:rsidRPr="009E4EEF">
        <w:rPr>
          <w:rFonts w:ascii="Times New Roman" w:eastAsia="Times New Roman" w:hAnsi="Times New Roman" w:cs="Times New Roman"/>
          <w:color w:val="000000"/>
          <w:sz w:val="24"/>
          <w:szCs w:val="24"/>
          <w:lang w:eastAsia="uk-UA"/>
        </w:rPr>
        <w:t xml:space="preserve">. Вони закликали Президента </w:t>
      </w:r>
      <w:proofErr w:type="spellStart"/>
      <w:r w:rsidRPr="009E4EEF">
        <w:rPr>
          <w:rFonts w:ascii="Times New Roman" w:eastAsia="Times New Roman" w:hAnsi="Times New Roman" w:cs="Times New Roman"/>
          <w:color w:val="000000"/>
          <w:sz w:val="24"/>
          <w:szCs w:val="24"/>
          <w:lang w:eastAsia="uk-UA"/>
        </w:rPr>
        <w:t>ветувати</w:t>
      </w:r>
      <w:proofErr w:type="spellEnd"/>
      <w:r w:rsidRPr="009E4EEF">
        <w:rPr>
          <w:rFonts w:ascii="Times New Roman" w:eastAsia="Times New Roman" w:hAnsi="Times New Roman" w:cs="Times New Roman"/>
          <w:color w:val="000000"/>
          <w:sz w:val="24"/>
          <w:szCs w:val="24"/>
          <w:lang w:eastAsia="uk-UA"/>
        </w:rPr>
        <w:t xml:space="preserve"> закон №</w:t>
      </w:r>
      <w:r w:rsidR="00167D49"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5068, яки</w:t>
      </w:r>
      <w:r w:rsidR="00167D49" w:rsidRPr="009E4EEF">
        <w:rPr>
          <w:rFonts w:ascii="Times New Roman" w:eastAsia="Times New Roman" w:hAnsi="Times New Roman" w:cs="Times New Roman"/>
          <w:color w:val="000000"/>
          <w:sz w:val="24"/>
          <w:szCs w:val="24"/>
          <w:lang w:eastAsia="uk-UA"/>
        </w:rPr>
        <w:t>м</w:t>
      </w:r>
      <w:r w:rsidRPr="009E4EEF">
        <w:rPr>
          <w:rFonts w:ascii="Times New Roman" w:eastAsia="Times New Roman" w:hAnsi="Times New Roman" w:cs="Times New Roman"/>
          <w:color w:val="000000"/>
          <w:sz w:val="24"/>
          <w:szCs w:val="24"/>
          <w:lang w:eastAsia="uk-UA"/>
        </w:rPr>
        <w:t xml:space="preserve"> запроваджу</w:t>
      </w:r>
      <w:r w:rsidR="00167D49" w:rsidRPr="009E4EEF">
        <w:rPr>
          <w:rFonts w:ascii="Times New Roman" w:eastAsia="Times New Roman" w:hAnsi="Times New Roman" w:cs="Times New Roman"/>
          <w:color w:val="000000"/>
          <w:sz w:val="24"/>
          <w:szCs w:val="24"/>
          <w:lang w:eastAsia="uk-UA"/>
        </w:rPr>
        <w:t>ються</w:t>
      </w:r>
      <w:r w:rsidRPr="009E4EEF">
        <w:rPr>
          <w:rFonts w:ascii="Times New Roman" w:eastAsia="Times New Roman" w:hAnsi="Times New Roman" w:cs="Times New Roman"/>
          <w:color w:val="000000"/>
          <w:sz w:val="24"/>
          <w:szCs w:val="24"/>
          <w:lang w:eastAsia="uk-UA"/>
        </w:rPr>
        <w:t xml:space="preserve"> відкриті конкурси на посади у ВРП</w:t>
      </w:r>
      <w:r w:rsidR="0024065E"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w:t>
      </w:r>
      <w:r w:rsidR="00C515A2" w:rsidRPr="009E4EEF">
        <w:rPr>
          <w:rFonts w:ascii="Times New Roman" w:eastAsia="Times New Roman" w:hAnsi="Times New Roman" w:cs="Times New Roman"/>
          <w:color w:val="000000"/>
          <w:sz w:val="24"/>
          <w:szCs w:val="24"/>
          <w:lang w:eastAsia="uk-UA"/>
        </w:rPr>
        <w:t>перевірка кандидатів на доброчесність</w:t>
      </w:r>
      <w:r w:rsidR="0024065E"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із залученням незалежних експертів із міжнародним досвідом</w:t>
      </w:r>
      <w:r w:rsidR="0024065E"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w:t>
      </w:r>
    </w:p>
    <w:p w14:paraId="5E0477C5" w14:textId="2EB9A197" w:rsidR="009F4687" w:rsidRPr="009E4EEF" w:rsidRDefault="009F4687" w:rsidP="009E4EEF">
      <w:pPr>
        <w:numPr>
          <w:ilvl w:val="0"/>
          <w:numId w:val="4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У своїх пояснення</w:t>
      </w:r>
      <w:r w:rsidR="00286762" w:rsidRPr="009E4EEF">
        <w:rPr>
          <w:rFonts w:ascii="Times New Roman" w:eastAsia="Times New Roman" w:hAnsi="Times New Roman" w:cs="Times New Roman"/>
          <w:color w:val="000000"/>
          <w:sz w:val="24"/>
          <w:szCs w:val="24"/>
          <w:lang w:eastAsia="uk-UA"/>
        </w:rPr>
        <w:t>х</w:t>
      </w:r>
      <w:r w:rsidRPr="009E4EEF">
        <w:rPr>
          <w:rFonts w:ascii="Times New Roman" w:eastAsia="Times New Roman" w:hAnsi="Times New Roman" w:cs="Times New Roman"/>
          <w:color w:val="000000"/>
          <w:sz w:val="24"/>
          <w:szCs w:val="24"/>
          <w:lang w:eastAsia="uk-UA"/>
        </w:rPr>
        <w:t xml:space="preserve">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вказав, що дійсно є членом вказаної громадської організації, проте жодного </w:t>
      </w:r>
      <w:proofErr w:type="spellStart"/>
      <w:r w:rsidRPr="009E4EEF">
        <w:rPr>
          <w:rFonts w:ascii="Times New Roman" w:eastAsia="Times New Roman" w:hAnsi="Times New Roman" w:cs="Times New Roman"/>
          <w:color w:val="000000"/>
          <w:sz w:val="24"/>
          <w:szCs w:val="24"/>
          <w:lang w:eastAsia="uk-UA"/>
        </w:rPr>
        <w:t>про</w:t>
      </w:r>
      <w:r w:rsidR="00286762" w:rsidRPr="009E4EEF">
        <w:rPr>
          <w:rFonts w:ascii="Times New Roman" w:eastAsia="Times New Roman" w:hAnsi="Times New Roman" w:cs="Times New Roman"/>
          <w:color w:val="000000"/>
          <w:sz w:val="24"/>
          <w:szCs w:val="24"/>
          <w:lang w:eastAsia="uk-UA"/>
        </w:rPr>
        <w:t>є</w:t>
      </w:r>
      <w:r w:rsidRPr="009E4EEF">
        <w:rPr>
          <w:rFonts w:ascii="Times New Roman" w:eastAsia="Times New Roman" w:hAnsi="Times New Roman" w:cs="Times New Roman"/>
          <w:color w:val="000000"/>
          <w:sz w:val="24"/>
          <w:szCs w:val="24"/>
          <w:lang w:eastAsia="uk-UA"/>
        </w:rPr>
        <w:t>кту</w:t>
      </w:r>
      <w:proofErr w:type="spellEnd"/>
      <w:r w:rsidRPr="009E4EEF">
        <w:rPr>
          <w:rFonts w:ascii="Times New Roman" w:eastAsia="Times New Roman" w:hAnsi="Times New Roman" w:cs="Times New Roman"/>
          <w:color w:val="000000"/>
          <w:sz w:val="24"/>
          <w:szCs w:val="24"/>
          <w:lang w:eastAsia="uk-UA"/>
        </w:rPr>
        <w:t>, звернення, рішення, заяви чи іншого документа йому на ознайомлення не надавал</w:t>
      </w:r>
      <w:r w:rsidR="00286762" w:rsidRPr="009E4EEF">
        <w:rPr>
          <w:rFonts w:ascii="Times New Roman" w:eastAsia="Times New Roman" w:hAnsi="Times New Roman" w:cs="Times New Roman"/>
          <w:color w:val="000000"/>
          <w:sz w:val="24"/>
          <w:szCs w:val="24"/>
          <w:lang w:eastAsia="uk-UA"/>
        </w:rPr>
        <w:t>о</w:t>
      </w:r>
      <w:r w:rsidRPr="009E4EEF">
        <w:rPr>
          <w:rFonts w:ascii="Times New Roman" w:eastAsia="Times New Roman" w:hAnsi="Times New Roman" w:cs="Times New Roman"/>
          <w:color w:val="000000"/>
          <w:sz w:val="24"/>
          <w:szCs w:val="24"/>
          <w:lang w:eastAsia="uk-UA"/>
        </w:rPr>
        <w:t>сь та ним не погоджувал</w:t>
      </w:r>
      <w:r w:rsidR="000A599E" w:rsidRPr="009E4EEF">
        <w:rPr>
          <w:rFonts w:ascii="Times New Roman" w:eastAsia="Times New Roman" w:hAnsi="Times New Roman" w:cs="Times New Roman"/>
          <w:color w:val="000000"/>
          <w:sz w:val="24"/>
          <w:szCs w:val="24"/>
          <w:lang w:eastAsia="uk-UA"/>
        </w:rPr>
        <w:t>о</w:t>
      </w:r>
      <w:r w:rsidRPr="009E4EEF">
        <w:rPr>
          <w:rFonts w:ascii="Times New Roman" w:eastAsia="Times New Roman" w:hAnsi="Times New Roman" w:cs="Times New Roman"/>
          <w:color w:val="000000"/>
          <w:sz w:val="24"/>
          <w:szCs w:val="24"/>
          <w:lang w:eastAsia="uk-UA"/>
        </w:rPr>
        <w:t>сь.</w:t>
      </w:r>
    </w:p>
    <w:p w14:paraId="6C739A54" w14:textId="77777777" w:rsidR="009F4687" w:rsidRPr="009E4EEF" w:rsidRDefault="009F4687" w:rsidP="009E4EEF">
      <w:pPr>
        <w:numPr>
          <w:ilvl w:val="0"/>
          <w:numId w:val="4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ГРД зазначає, що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не перебуваючи на робочому місці (був за кордоном, на навчанні, на тимчасово окупованій території тощо), ухвалював судові рішення, зокрема з 02 квітня 2012 року до 13 квітня 2012 року (два рішення); 19 квітня 2013 року (одне рішення); з 09 вересня 2013 року до 10 вересня 2013 року (тридцять рішень); 27 вересня 2013 року (два рішення).</w:t>
      </w:r>
    </w:p>
    <w:p w14:paraId="29F47996" w14:textId="7F7B15D2" w:rsidR="009F4687" w:rsidRPr="009E4EEF" w:rsidRDefault="009F4687" w:rsidP="009E4EEF">
      <w:pPr>
        <w:numPr>
          <w:ilvl w:val="0"/>
          <w:numId w:val="4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У своїх поясненнях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вказав, що перебував на робочому місці у вказані дати, </w:t>
      </w:r>
      <w:r w:rsidR="000A599E" w:rsidRPr="009E4EEF">
        <w:rPr>
          <w:rFonts w:ascii="Times New Roman" w:eastAsia="Times New Roman" w:hAnsi="Times New Roman" w:cs="Times New Roman"/>
          <w:color w:val="000000"/>
          <w:sz w:val="24"/>
          <w:szCs w:val="24"/>
          <w:lang w:eastAsia="uk-UA"/>
        </w:rPr>
        <w:t>був включений</w:t>
      </w:r>
      <w:r w:rsidRPr="009E4EEF">
        <w:rPr>
          <w:rFonts w:ascii="Times New Roman" w:eastAsia="Times New Roman" w:hAnsi="Times New Roman" w:cs="Times New Roman"/>
          <w:color w:val="000000"/>
          <w:sz w:val="24"/>
          <w:szCs w:val="24"/>
          <w:lang w:eastAsia="uk-UA"/>
        </w:rPr>
        <w:t xml:space="preserve"> в автоматизован</w:t>
      </w:r>
      <w:r w:rsidR="000A599E" w:rsidRPr="009E4EEF">
        <w:rPr>
          <w:rFonts w:ascii="Times New Roman" w:eastAsia="Times New Roman" w:hAnsi="Times New Roman" w:cs="Times New Roman"/>
          <w:color w:val="000000"/>
          <w:sz w:val="24"/>
          <w:szCs w:val="24"/>
          <w:lang w:eastAsia="uk-UA"/>
        </w:rPr>
        <w:t>ий</w:t>
      </w:r>
      <w:r w:rsidRPr="009E4EEF">
        <w:rPr>
          <w:rFonts w:ascii="Times New Roman" w:eastAsia="Times New Roman" w:hAnsi="Times New Roman" w:cs="Times New Roman"/>
          <w:color w:val="000000"/>
          <w:sz w:val="24"/>
          <w:szCs w:val="24"/>
          <w:lang w:eastAsia="uk-UA"/>
        </w:rPr>
        <w:t xml:space="preserve"> розподіл справ між суддями та на підтвердження </w:t>
      </w:r>
      <w:r w:rsidR="00BB0DAD" w:rsidRPr="009E4EEF">
        <w:rPr>
          <w:rFonts w:ascii="Times New Roman" w:eastAsia="Times New Roman" w:hAnsi="Times New Roman" w:cs="Times New Roman"/>
          <w:color w:val="000000"/>
          <w:sz w:val="24"/>
          <w:szCs w:val="24"/>
          <w:lang w:eastAsia="uk-UA"/>
        </w:rPr>
        <w:t xml:space="preserve">цього </w:t>
      </w:r>
      <w:r w:rsidRPr="009E4EEF">
        <w:rPr>
          <w:rFonts w:ascii="Times New Roman" w:eastAsia="Times New Roman" w:hAnsi="Times New Roman" w:cs="Times New Roman"/>
          <w:color w:val="000000"/>
          <w:sz w:val="24"/>
          <w:szCs w:val="24"/>
          <w:lang w:eastAsia="uk-UA"/>
        </w:rPr>
        <w:t>додав лист Харківського окружного адміністративного суду.</w:t>
      </w:r>
    </w:p>
    <w:p w14:paraId="22E926B7" w14:textId="2466AC36" w:rsidR="009F4687" w:rsidRPr="009E4EEF" w:rsidRDefault="009F4687" w:rsidP="009E4EEF">
      <w:pPr>
        <w:numPr>
          <w:ilvl w:val="0"/>
          <w:numId w:val="4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ГРД вказує, що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використовує майно, що </w:t>
      </w:r>
      <w:r w:rsidR="00BB0DAD" w:rsidRPr="009E4EEF">
        <w:rPr>
          <w:rFonts w:ascii="Times New Roman" w:eastAsia="Times New Roman" w:hAnsi="Times New Roman" w:cs="Times New Roman"/>
          <w:color w:val="000000"/>
          <w:sz w:val="24"/>
          <w:szCs w:val="24"/>
          <w:lang w:eastAsia="uk-UA"/>
        </w:rPr>
        <w:t xml:space="preserve">перебуває </w:t>
      </w:r>
      <w:r w:rsidRPr="009E4EEF">
        <w:rPr>
          <w:rFonts w:ascii="Times New Roman" w:eastAsia="Times New Roman" w:hAnsi="Times New Roman" w:cs="Times New Roman"/>
          <w:color w:val="000000"/>
          <w:sz w:val="24"/>
          <w:szCs w:val="24"/>
          <w:lang w:eastAsia="uk-UA"/>
        </w:rPr>
        <w:t xml:space="preserve">у власності батька. </w:t>
      </w:r>
      <w:r w:rsidR="00BB0DAD" w:rsidRPr="009E4EEF">
        <w:rPr>
          <w:rFonts w:ascii="Times New Roman" w:eastAsia="Times New Roman" w:hAnsi="Times New Roman" w:cs="Times New Roman"/>
          <w:color w:val="000000"/>
          <w:sz w:val="24"/>
          <w:szCs w:val="24"/>
          <w:lang w:eastAsia="uk-UA"/>
        </w:rPr>
        <w:t>Однак, батько,</w:t>
      </w:r>
      <w:r w:rsidRPr="009E4EEF">
        <w:rPr>
          <w:rFonts w:ascii="Times New Roman" w:eastAsia="Times New Roman" w:hAnsi="Times New Roman" w:cs="Times New Roman"/>
          <w:color w:val="000000"/>
          <w:sz w:val="24"/>
          <w:szCs w:val="24"/>
          <w:lang w:eastAsia="uk-UA"/>
        </w:rPr>
        <w:t xml:space="preserve"> ймовірно</w:t>
      </w:r>
      <w:r w:rsidR="007523BA" w:rsidRPr="009E4EEF">
        <w:rPr>
          <w:rFonts w:ascii="Times New Roman" w:eastAsia="Times New Roman" w:hAnsi="Times New Roman" w:cs="Times New Roman"/>
          <w:color w:val="000000"/>
          <w:sz w:val="24"/>
          <w:szCs w:val="24"/>
          <w:lang w:eastAsia="uk-UA"/>
        </w:rPr>
        <w:t>, не мав достатньо</w:t>
      </w:r>
      <w:r w:rsidRPr="009E4EEF">
        <w:rPr>
          <w:rFonts w:ascii="Times New Roman" w:eastAsia="Times New Roman" w:hAnsi="Times New Roman" w:cs="Times New Roman"/>
          <w:color w:val="000000"/>
          <w:sz w:val="24"/>
          <w:szCs w:val="24"/>
          <w:lang w:eastAsia="uk-UA"/>
        </w:rPr>
        <w:t xml:space="preserve"> коштів на придбання зазначеного майна. Так, у майновій декларації за 2024 рік суддя зазначає, що проживає в житловому будинку з надвірними будівлями площею 73,9 </w:t>
      </w:r>
      <w:proofErr w:type="spellStart"/>
      <w:r w:rsidRPr="009E4EEF">
        <w:rPr>
          <w:rFonts w:ascii="Times New Roman" w:eastAsia="Times New Roman" w:hAnsi="Times New Roman" w:cs="Times New Roman"/>
          <w:color w:val="000000"/>
          <w:sz w:val="24"/>
          <w:szCs w:val="24"/>
          <w:lang w:eastAsia="uk-UA"/>
        </w:rPr>
        <w:t>кв.м</w:t>
      </w:r>
      <w:proofErr w:type="spellEnd"/>
      <w:r w:rsidRPr="009E4EEF">
        <w:rPr>
          <w:rFonts w:ascii="Times New Roman" w:eastAsia="Times New Roman" w:hAnsi="Times New Roman" w:cs="Times New Roman"/>
          <w:color w:val="000000"/>
          <w:sz w:val="24"/>
          <w:szCs w:val="24"/>
          <w:lang w:eastAsia="uk-UA"/>
        </w:rPr>
        <w:t xml:space="preserve">, у м. Люботин Харківської обл., 1/2 частки якого належить </w:t>
      </w:r>
      <w:r w:rsidR="00A92E4B">
        <w:rPr>
          <w:rFonts w:ascii="Times New Roman" w:eastAsia="Times New Roman" w:hAnsi="Times New Roman" w:cs="Times New Roman"/>
          <w:color w:val="000000"/>
          <w:sz w:val="24"/>
          <w:szCs w:val="24"/>
          <w:lang w:eastAsia="uk-UA"/>
        </w:rPr>
        <w:t>ОСОБА_7</w:t>
      </w:r>
      <w:r w:rsidRPr="009E4EEF">
        <w:rPr>
          <w:rFonts w:ascii="Times New Roman" w:eastAsia="Times New Roman" w:hAnsi="Times New Roman" w:cs="Times New Roman"/>
          <w:color w:val="000000"/>
          <w:sz w:val="24"/>
          <w:szCs w:val="24"/>
          <w:lang w:eastAsia="uk-UA"/>
        </w:rPr>
        <w:t xml:space="preserve"> (батькові). Дата набуття </w:t>
      </w:r>
      <w:r w:rsidR="007523BA"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16</w:t>
      </w:r>
      <w:r w:rsidR="007523BA"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травня 2014 року, вартість на дату набуття </w:t>
      </w:r>
      <w:r w:rsidR="003215F8"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126 000 грн. </w:t>
      </w:r>
    </w:p>
    <w:p w14:paraId="657F0F4C" w14:textId="0A967D19" w:rsidR="009F4687" w:rsidRPr="009E4EEF" w:rsidRDefault="009F4687" w:rsidP="009E4EEF">
      <w:pPr>
        <w:numPr>
          <w:ilvl w:val="0"/>
          <w:numId w:val="4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Також </w:t>
      </w:r>
      <w:proofErr w:type="spellStart"/>
      <w:r w:rsidRPr="005E1630">
        <w:rPr>
          <w:rFonts w:ascii="Times New Roman" w:eastAsia="Times New Roman" w:hAnsi="Times New Roman" w:cs="Times New Roman"/>
          <w:color w:val="000000"/>
          <w:sz w:val="24"/>
          <w:szCs w:val="24"/>
          <w:lang w:eastAsia="uk-UA"/>
        </w:rPr>
        <w:t>Бабаєв</w:t>
      </w:r>
      <w:proofErr w:type="spellEnd"/>
      <w:r w:rsidRPr="005E1630">
        <w:rPr>
          <w:rFonts w:ascii="Times New Roman" w:eastAsia="Times New Roman" w:hAnsi="Times New Roman" w:cs="Times New Roman"/>
          <w:color w:val="000000"/>
          <w:sz w:val="24"/>
          <w:szCs w:val="24"/>
          <w:lang w:eastAsia="uk-UA"/>
        </w:rPr>
        <w:t xml:space="preserve"> В.І. має</w:t>
      </w:r>
      <w:r w:rsidRPr="009E4EEF">
        <w:rPr>
          <w:rFonts w:ascii="Times New Roman" w:eastAsia="Times New Roman" w:hAnsi="Times New Roman" w:cs="Times New Roman"/>
          <w:color w:val="000000"/>
          <w:sz w:val="24"/>
          <w:szCs w:val="24"/>
          <w:lang w:eastAsia="uk-UA"/>
        </w:rPr>
        <w:t xml:space="preserve"> право користування автомобілями</w:t>
      </w:r>
      <w:r w:rsidR="003215F8" w:rsidRPr="009E4EEF">
        <w:rPr>
          <w:rFonts w:ascii="Times New Roman" w:eastAsia="Times New Roman" w:hAnsi="Times New Roman" w:cs="Times New Roman"/>
          <w:color w:val="000000"/>
          <w:sz w:val="24"/>
          <w:szCs w:val="24"/>
          <w:lang w:eastAsia="uk-UA"/>
        </w:rPr>
        <w:t>, що належать на праві власності</w:t>
      </w:r>
      <w:r w:rsidRPr="009E4EEF">
        <w:rPr>
          <w:rFonts w:ascii="Times New Roman" w:eastAsia="Times New Roman" w:hAnsi="Times New Roman" w:cs="Times New Roman"/>
          <w:color w:val="000000"/>
          <w:sz w:val="24"/>
          <w:szCs w:val="24"/>
          <w:lang w:eastAsia="uk-UA"/>
        </w:rPr>
        <w:t xml:space="preserve"> </w:t>
      </w:r>
      <w:r w:rsidR="00A92E4B">
        <w:rPr>
          <w:rFonts w:ascii="Times New Roman" w:eastAsia="Times New Roman" w:hAnsi="Times New Roman" w:cs="Times New Roman"/>
          <w:color w:val="000000"/>
          <w:sz w:val="24"/>
          <w:szCs w:val="24"/>
          <w:lang w:eastAsia="uk-UA"/>
        </w:rPr>
        <w:t>ОСОБА_7</w:t>
      </w:r>
      <w:r w:rsidR="00004AEB"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w:t>
      </w:r>
      <w:r w:rsidR="00DE2A7C" w:rsidRPr="009E4EEF">
        <w:rPr>
          <w:rFonts w:ascii="Times New Roman" w:eastAsia="Times New Roman" w:hAnsi="Times New Roman" w:cs="Times New Roman"/>
          <w:color w:val="000000"/>
          <w:sz w:val="24"/>
          <w:szCs w:val="24"/>
          <w:lang w:eastAsia="uk-UA"/>
        </w:rPr>
        <w:t>«</w:t>
      </w:r>
      <w:r w:rsidR="00DE2A7C" w:rsidRPr="009E4EEF">
        <w:rPr>
          <w:rFonts w:ascii="Times New Roman" w:eastAsia="Times New Roman" w:hAnsi="Times New Roman" w:cs="Times New Roman"/>
          <w:color w:val="000000"/>
          <w:sz w:val="24"/>
          <w:szCs w:val="24"/>
          <w:lang w:val="en-US" w:eastAsia="uk-UA"/>
        </w:rPr>
        <w:t>Hyundai</w:t>
      </w:r>
      <w:r w:rsidR="001D16FE" w:rsidRPr="009D4897">
        <w:rPr>
          <w:rFonts w:ascii="Times New Roman" w:eastAsia="Times New Roman" w:hAnsi="Times New Roman" w:cs="Times New Roman"/>
          <w:color w:val="000000"/>
          <w:sz w:val="24"/>
          <w:szCs w:val="24"/>
          <w:lang w:eastAsia="uk-UA"/>
        </w:rPr>
        <w:t xml:space="preserve"> </w:t>
      </w:r>
      <w:r w:rsidR="001D16FE" w:rsidRPr="009E4EEF">
        <w:rPr>
          <w:rFonts w:ascii="Times New Roman" w:eastAsia="Times New Roman" w:hAnsi="Times New Roman" w:cs="Times New Roman"/>
          <w:color w:val="000000"/>
          <w:sz w:val="24"/>
          <w:szCs w:val="24"/>
          <w:lang w:val="en-US" w:eastAsia="uk-UA"/>
        </w:rPr>
        <w:t>Accent</w:t>
      </w:r>
      <w:r w:rsidR="001D16FE"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2007 року випуску та </w:t>
      </w:r>
      <w:r w:rsidR="001D16FE" w:rsidRPr="009E4EEF">
        <w:rPr>
          <w:rFonts w:ascii="Times New Roman" w:eastAsia="Times New Roman" w:hAnsi="Times New Roman" w:cs="Times New Roman"/>
          <w:color w:val="000000"/>
          <w:sz w:val="24"/>
          <w:szCs w:val="24"/>
          <w:lang w:eastAsia="uk-UA"/>
        </w:rPr>
        <w:t>«</w:t>
      </w:r>
      <w:r w:rsidR="001D16FE" w:rsidRPr="009E4EEF">
        <w:rPr>
          <w:rFonts w:ascii="Times New Roman" w:eastAsia="Times New Roman" w:hAnsi="Times New Roman" w:cs="Times New Roman"/>
          <w:color w:val="000000"/>
          <w:sz w:val="24"/>
          <w:szCs w:val="24"/>
          <w:lang w:val="en-US" w:eastAsia="uk-UA"/>
        </w:rPr>
        <w:t>Honda</w:t>
      </w:r>
      <w:r w:rsidR="001D16FE" w:rsidRPr="009D4897">
        <w:rPr>
          <w:rFonts w:ascii="Times New Roman" w:eastAsia="Times New Roman" w:hAnsi="Times New Roman" w:cs="Times New Roman"/>
          <w:color w:val="000000"/>
          <w:sz w:val="24"/>
          <w:szCs w:val="24"/>
          <w:lang w:eastAsia="uk-UA"/>
        </w:rPr>
        <w:t xml:space="preserve"> </w:t>
      </w:r>
      <w:r w:rsidR="001D16FE" w:rsidRPr="009E4EEF">
        <w:rPr>
          <w:rFonts w:ascii="Times New Roman" w:eastAsia="Times New Roman" w:hAnsi="Times New Roman" w:cs="Times New Roman"/>
          <w:color w:val="000000"/>
          <w:sz w:val="24"/>
          <w:szCs w:val="24"/>
          <w:lang w:val="en-US" w:eastAsia="uk-UA"/>
        </w:rPr>
        <w:t>Accord</w:t>
      </w:r>
      <w:r w:rsidR="001D16FE"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2011 року випуску. Суддя зазначає, що йому не відомо вартість вказаних автомобілів. </w:t>
      </w:r>
    </w:p>
    <w:p w14:paraId="567AC820" w14:textId="7AD2953B" w:rsidR="009F4687" w:rsidRPr="009E4EEF" w:rsidRDefault="00004AEB" w:rsidP="009E4EEF">
      <w:pPr>
        <w:numPr>
          <w:ilvl w:val="0"/>
          <w:numId w:val="4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w:t>
      </w:r>
      <w:r w:rsidR="009F4687" w:rsidRPr="009E4EEF">
        <w:rPr>
          <w:rFonts w:ascii="Times New Roman" w:eastAsia="Times New Roman" w:hAnsi="Times New Roman" w:cs="Times New Roman"/>
          <w:color w:val="000000"/>
          <w:sz w:val="24"/>
          <w:szCs w:val="24"/>
          <w:lang w:eastAsia="uk-UA"/>
        </w:rPr>
        <w:t xml:space="preserve"> анкет</w:t>
      </w:r>
      <w:r w:rsidRPr="009E4EEF">
        <w:rPr>
          <w:rFonts w:ascii="Times New Roman" w:eastAsia="Times New Roman" w:hAnsi="Times New Roman" w:cs="Times New Roman"/>
          <w:color w:val="000000"/>
          <w:sz w:val="24"/>
          <w:szCs w:val="24"/>
          <w:lang w:eastAsia="uk-UA"/>
        </w:rPr>
        <w:t xml:space="preserve">і </w:t>
      </w:r>
      <w:r w:rsidR="009F4687" w:rsidRPr="009E4EEF">
        <w:rPr>
          <w:rFonts w:ascii="Times New Roman" w:eastAsia="Times New Roman" w:hAnsi="Times New Roman" w:cs="Times New Roman"/>
          <w:color w:val="000000"/>
          <w:sz w:val="24"/>
          <w:szCs w:val="24"/>
          <w:lang w:eastAsia="uk-UA"/>
        </w:rPr>
        <w:t xml:space="preserve">судді від 25 березня 2018 року </w:t>
      </w:r>
      <w:r w:rsidR="00A92E4B">
        <w:rPr>
          <w:rFonts w:ascii="Times New Roman" w:eastAsia="Times New Roman" w:hAnsi="Times New Roman" w:cs="Times New Roman"/>
          <w:color w:val="000000"/>
          <w:sz w:val="24"/>
          <w:szCs w:val="24"/>
          <w:lang w:eastAsia="uk-UA"/>
        </w:rPr>
        <w:t>ОСОБА_7</w:t>
      </w:r>
      <w:r w:rsidR="009F4687" w:rsidRPr="009E4EEF">
        <w:rPr>
          <w:rFonts w:ascii="Times New Roman" w:eastAsia="Times New Roman" w:hAnsi="Times New Roman" w:cs="Times New Roman"/>
          <w:color w:val="000000"/>
          <w:sz w:val="24"/>
          <w:szCs w:val="24"/>
          <w:lang w:eastAsia="uk-UA"/>
        </w:rPr>
        <w:t xml:space="preserve"> та </w:t>
      </w:r>
      <w:r w:rsidR="00A92E4B">
        <w:rPr>
          <w:rFonts w:ascii="Times New Roman" w:eastAsia="Times New Roman" w:hAnsi="Times New Roman" w:cs="Times New Roman"/>
          <w:color w:val="000000"/>
          <w:sz w:val="24"/>
          <w:szCs w:val="24"/>
          <w:lang w:eastAsia="uk-UA"/>
        </w:rPr>
        <w:t>ОСОБА_8</w:t>
      </w:r>
      <w:r w:rsidR="009F4687" w:rsidRPr="009E4EEF">
        <w:rPr>
          <w:rFonts w:ascii="Times New Roman" w:eastAsia="Times New Roman" w:hAnsi="Times New Roman" w:cs="Times New Roman"/>
          <w:color w:val="000000"/>
          <w:sz w:val="24"/>
          <w:szCs w:val="24"/>
          <w:lang w:eastAsia="uk-UA"/>
        </w:rPr>
        <w:t xml:space="preserve"> зазначені як пенсіонери. Доходи батька, за інформацією </w:t>
      </w:r>
      <w:r w:rsidRPr="009E4EEF">
        <w:rPr>
          <w:rFonts w:ascii="Times New Roman" w:eastAsia="Times New Roman" w:hAnsi="Times New Roman" w:cs="Times New Roman"/>
          <w:color w:val="000000"/>
          <w:sz w:val="24"/>
          <w:szCs w:val="24"/>
          <w:lang w:eastAsia="uk-UA"/>
        </w:rPr>
        <w:t xml:space="preserve">з </w:t>
      </w:r>
      <w:r w:rsidR="009F4687" w:rsidRPr="009E4EEF">
        <w:rPr>
          <w:rFonts w:ascii="Times New Roman" w:eastAsia="Times New Roman" w:hAnsi="Times New Roman" w:cs="Times New Roman"/>
          <w:color w:val="000000"/>
          <w:sz w:val="24"/>
          <w:szCs w:val="24"/>
          <w:lang w:eastAsia="uk-UA"/>
        </w:rPr>
        <w:t>Єдиного державного реєстру фізичних</w:t>
      </w:r>
      <w:r w:rsidR="008B3AF4" w:rsidRPr="009E4EEF">
        <w:rPr>
          <w:rFonts w:ascii="Times New Roman" w:eastAsia="Times New Roman" w:hAnsi="Times New Roman" w:cs="Times New Roman"/>
          <w:color w:val="000000"/>
          <w:sz w:val="24"/>
          <w:szCs w:val="24"/>
          <w:lang w:eastAsia="uk-UA"/>
        </w:rPr>
        <w:t xml:space="preserve"> </w:t>
      </w:r>
      <w:r w:rsidR="009F4687" w:rsidRPr="009E4EEF">
        <w:rPr>
          <w:rFonts w:ascii="Times New Roman" w:eastAsia="Times New Roman" w:hAnsi="Times New Roman" w:cs="Times New Roman"/>
          <w:color w:val="000000"/>
          <w:sz w:val="24"/>
          <w:szCs w:val="24"/>
          <w:lang w:eastAsia="uk-UA"/>
        </w:rPr>
        <w:t xml:space="preserve">осіб </w:t>
      </w:r>
      <w:r w:rsidR="008B3AF4" w:rsidRPr="009E4EEF">
        <w:rPr>
          <w:rFonts w:ascii="Times New Roman" w:eastAsia="Times New Roman" w:hAnsi="Times New Roman" w:cs="Times New Roman"/>
          <w:color w:val="000000"/>
          <w:sz w:val="24"/>
          <w:szCs w:val="24"/>
          <w:lang w:eastAsia="uk-UA"/>
        </w:rPr>
        <w:t xml:space="preserve">– </w:t>
      </w:r>
      <w:r w:rsidR="009F4687" w:rsidRPr="009E4EEF">
        <w:rPr>
          <w:rFonts w:ascii="Times New Roman" w:eastAsia="Times New Roman" w:hAnsi="Times New Roman" w:cs="Times New Roman"/>
          <w:color w:val="000000"/>
          <w:sz w:val="24"/>
          <w:szCs w:val="24"/>
          <w:lang w:eastAsia="uk-UA"/>
        </w:rPr>
        <w:t>п</w:t>
      </w:r>
      <w:r w:rsidR="008B3AF4" w:rsidRPr="009E4EEF">
        <w:rPr>
          <w:rFonts w:ascii="Times New Roman" w:eastAsia="Times New Roman" w:hAnsi="Times New Roman" w:cs="Times New Roman"/>
          <w:color w:val="000000"/>
          <w:sz w:val="24"/>
          <w:szCs w:val="24"/>
          <w:lang w:eastAsia="uk-UA"/>
        </w:rPr>
        <w:t>л</w:t>
      </w:r>
      <w:r w:rsidR="009F4687" w:rsidRPr="009E4EEF">
        <w:rPr>
          <w:rFonts w:ascii="Times New Roman" w:eastAsia="Times New Roman" w:hAnsi="Times New Roman" w:cs="Times New Roman"/>
          <w:color w:val="000000"/>
          <w:sz w:val="24"/>
          <w:szCs w:val="24"/>
          <w:lang w:eastAsia="uk-UA"/>
        </w:rPr>
        <w:t>атників податків</w:t>
      </w:r>
      <w:r w:rsidR="008B3AF4" w:rsidRPr="009E4EEF">
        <w:rPr>
          <w:rFonts w:ascii="Times New Roman" w:eastAsia="Times New Roman" w:hAnsi="Times New Roman" w:cs="Times New Roman"/>
          <w:color w:val="000000"/>
          <w:sz w:val="24"/>
          <w:szCs w:val="24"/>
          <w:lang w:eastAsia="uk-UA"/>
        </w:rPr>
        <w:t>,</w:t>
      </w:r>
      <w:r w:rsidR="009F4687" w:rsidRPr="009E4EEF">
        <w:rPr>
          <w:rFonts w:ascii="Times New Roman" w:eastAsia="Times New Roman" w:hAnsi="Times New Roman" w:cs="Times New Roman"/>
          <w:color w:val="000000"/>
          <w:sz w:val="24"/>
          <w:szCs w:val="24"/>
          <w:lang w:eastAsia="uk-UA"/>
        </w:rPr>
        <w:t xml:space="preserve"> були недостатні для придбання майна. </w:t>
      </w:r>
    </w:p>
    <w:p w14:paraId="3F5C5495" w14:textId="4A49F0E9" w:rsidR="009F4687" w:rsidRPr="009E4EEF" w:rsidRDefault="009F4687" w:rsidP="009E4EEF">
      <w:pPr>
        <w:numPr>
          <w:ilvl w:val="0"/>
          <w:numId w:val="4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у своїх письмових поясненнях вказав, все зазначене майно придбавалось його батьками разом, за спільні кошти. Тобто для придбання використовувались кошти не тільки його батька, а </w:t>
      </w:r>
      <w:r w:rsidR="008B3AF4" w:rsidRPr="009E4EEF">
        <w:rPr>
          <w:rFonts w:ascii="Times New Roman" w:eastAsia="Times New Roman" w:hAnsi="Times New Roman" w:cs="Times New Roman"/>
          <w:color w:val="000000"/>
          <w:sz w:val="24"/>
          <w:szCs w:val="24"/>
          <w:lang w:eastAsia="uk-UA"/>
        </w:rPr>
        <w:t xml:space="preserve">й </w:t>
      </w:r>
      <w:r w:rsidRPr="009E4EEF">
        <w:rPr>
          <w:rFonts w:ascii="Times New Roman" w:eastAsia="Times New Roman" w:hAnsi="Times New Roman" w:cs="Times New Roman"/>
          <w:color w:val="000000"/>
          <w:sz w:val="24"/>
          <w:szCs w:val="24"/>
          <w:lang w:eastAsia="uk-UA"/>
        </w:rPr>
        <w:t>кошти всієї сім’ї</w:t>
      </w:r>
      <w:r w:rsidR="00F223B9" w:rsidRPr="009E4EEF">
        <w:rPr>
          <w:rFonts w:ascii="Times New Roman" w:eastAsia="Times New Roman" w:hAnsi="Times New Roman" w:cs="Times New Roman"/>
          <w:color w:val="000000"/>
          <w:sz w:val="24"/>
          <w:szCs w:val="24"/>
          <w:lang w:eastAsia="uk-UA"/>
        </w:rPr>
        <w:t xml:space="preserve"> – батька та м</w:t>
      </w:r>
      <w:r w:rsidRPr="009E4EEF">
        <w:rPr>
          <w:rFonts w:ascii="Times New Roman" w:eastAsia="Times New Roman" w:hAnsi="Times New Roman" w:cs="Times New Roman"/>
          <w:color w:val="000000"/>
          <w:sz w:val="24"/>
          <w:szCs w:val="24"/>
          <w:lang w:eastAsia="uk-UA"/>
        </w:rPr>
        <w:t xml:space="preserve">атері. Мати займалась підприємницькою діяльністю з 1996 року </w:t>
      </w:r>
      <w:r w:rsidR="00F223B9" w:rsidRPr="009E4EEF">
        <w:rPr>
          <w:rFonts w:ascii="Times New Roman" w:eastAsia="Times New Roman" w:hAnsi="Times New Roman" w:cs="Times New Roman"/>
          <w:color w:val="000000"/>
          <w:sz w:val="24"/>
          <w:szCs w:val="24"/>
          <w:lang w:eastAsia="uk-UA"/>
        </w:rPr>
        <w:t>д</w:t>
      </w:r>
      <w:r w:rsidRPr="009E4EEF">
        <w:rPr>
          <w:rFonts w:ascii="Times New Roman" w:eastAsia="Times New Roman" w:hAnsi="Times New Roman" w:cs="Times New Roman"/>
          <w:color w:val="000000"/>
          <w:sz w:val="24"/>
          <w:szCs w:val="24"/>
          <w:lang w:eastAsia="uk-UA"/>
        </w:rPr>
        <w:t xml:space="preserve">о 2023 рік, на підтвердження вказаних обставин кандидат надав копію свідоцтва про державну реєстрацію фізичної особи </w:t>
      </w:r>
      <w:r w:rsidR="00F223B9"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підприємця, копію </w:t>
      </w:r>
      <w:r w:rsidR="00D32E5F"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итягу з Єдиного реєстру страхувальників для фізичних</w:t>
      </w:r>
      <w:r w:rsidR="00D32E5F"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осіб</w:t>
      </w:r>
      <w:r w:rsidR="00F223B9" w:rsidRPr="009E4EEF">
        <w:rPr>
          <w:rFonts w:ascii="Times New Roman" w:eastAsia="Times New Roman" w:hAnsi="Times New Roman" w:cs="Times New Roman"/>
          <w:color w:val="000000"/>
          <w:sz w:val="24"/>
          <w:szCs w:val="24"/>
          <w:lang w:eastAsia="uk-UA"/>
        </w:rPr>
        <w:t xml:space="preserve"> – </w:t>
      </w:r>
      <w:r w:rsidRPr="009E4EEF">
        <w:rPr>
          <w:rFonts w:ascii="Times New Roman" w:eastAsia="Times New Roman" w:hAnsi="Times New Roman" w:cs="Times New Roman"/>
          <w:color w:val="000000"/>
          <w:sz w:val="24"/>
          <w:szCs w:val="24"/>
          <w:lang w:eastAsia="uk-UA"/>
        </w:rPr>
        <w:t>підприємців.</w:t>
      </w:r>
    </w:p>
    <w:p w14:paraId="5425B39E" w14:textId="7D805965" w:rsidR="009F4687" w:rsidRPr="009E4EEF" w:rsidRDefault="009F4687" w:rsidP="009E4EEF">
      <w:pPr>
        <w:numPr>
          <w:ilvl w:val="0"/>
          <w:numId w:val="4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З метою сприяння своєчасному ознайомленню із висновком ГРД 07 травня 2025 року Комісією надіслано кандидату електронну копію </w:t>
      </w:r>
      <w:r w:rsidR="00DD5A21" w:rsidRPr="009E4EEF">
        <w:rPr>
          <w:rFonts w:ascii="Times New Roman" w:eastAsia="Times New Roman" w:hAnsi="Times New Roman" w:cs="Times New Roman"/>
          <w:color w:val="000000"/>
          <w:sz w:val="24"/>
          <w:szCs w:val="24"/>
          <w:lang w:eastAsia="uk-UA"/>
        </w:rPr>
        <w:t>цього</w:t>
      </w:r>
      <w:r w:rsidRPr="009E4EEF">
        <w:rPr>
          <w:rFonts w:ascii="Times New Roman" w:eastAsia="Times New Roman" w:hAnsi="Times New Roman" w:cs="Times New Roman"/>
          <w:color w:val="000000"/>
          <w:sz w:val="24"/>
          <w:szCs w:val="24"/>
          <w:lang w:eastAsia="uk-UA"/>
        </w:rPr>
        <w:t xml:space="preserve"> висновку </w:t>
      </w:r>
      <w:r w:rsidR="00DD5A21" w:rsidRPr="009E4EEF">
        <w:rPr>
          <w:rFonts w:ascii="Times New Roman" w:eastAsia="Times New Roman" w:hAnsi="Times New Roman" w:cs="Times New Roman"/>
          <w:color w:val="000000"/>
          <w:sz w:val="24"/>
          <w:szCs w:val="24"/>
          <w:lang w:eastAsia="uk-UA"/>
        </w:rPr>
        <w:t>т</w:t>
      </w:r>
      <w:r w:rsidRPr="009E4EEF">
        <w:rPr>
          <w:rFonts w:ascii="Times New Roman" w:eastAsia="Times New Roman" w:hAnsi="Times New Roman" w:cs="Times New Roman"/>
          <w:color w:val="000000"/>
          <w:sz w:val="24"/>
          <w:szCs w:val="24"/>
          <w:lang w:eastAsia="uk-UA"/>
        </w:rPr>
        <w:t>а запропоновано надати пояснення та копії підтверджу</w:t>
      </w:r>
      <w:r w:rsidR="00D32E5F" w:rsidRPr="009E4EEF">
        <w:rPr>
          <w:rFonts w:ascii="Times New Roman" w:eastAsia="Times New Roman" w:hAnsi="Times New Roman" w:cs="Times New Roman"/>
          <w:color w:val="000000"/>
          <w:sz w:val="24"/>
          <w:szCs w:val="24"/>
          <w:lang w:eastAsia="uk-UA"/>
        </w:rPr>
        <w:t xml:space="preserve">вальних </w:t>
      </w:r>
      <w:r w:rsidRPr="009E4EEF">
        <w:rPr>
          <w:rFonts w:ascii="Times New Roman" w:eastAsia="Times New Roman" w:hAnsi="Times New Roman" w:cs="Times New Roman"/>
          <w:color w:val="000000"/>
          <w:sz w:val="24"/>
          <w:szCs w:val="24"/>
          <w:lang w:eastAsia="uk-UA"/>
        </w:rPr>
        <w:t>документів (за наявності).</w:t>
      </w:r>
    </w:p>
    <w:p w14:paraId="55E67A30" w14:textId="471EA41C" w:rsidR="009F4687" w:rsidRPr="009E4EEF" w:rsidRDefault="009F4687" w:rsidP="009E4EEF">
      <w:pPr>
        <w:numPr>
          <w:ilvl w:val="0"/>
          <w:numId w:val="5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12 травня 2025 року кандидатом надіслано на адресу Комісії пояснення щодо обставин</w:t>
      </w:r>
      <w:r w:rsidR="00B82482"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викладених у висновку ГРД</w:t>
      </w:r>
      <w:r w:rsidR="00D36885"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та надано копії підтверджу</w:t>
      </w:r>
      <w:r w:rsidR="00D36885" w:rsidRPr="009E4EEF">
        <w:rPr>
          <w:rFonts w:ascii="Times New Roman" w:eastAsia="Times New Roman" w:hAnsi="Times New Roman" w:cs="Times New Roman"/>
          <w:color w:val="000000"/>
          <w:sz w:val="24"/>
          <w:szCs w:val="24"/>
          <w:lang w:eastAsia="uk-UA"/>
        </w:rPr>
        <w:t>вальних</w:t>
      </w:r>
      <w:r w:rsidRPr="009E4EEF">
        <w:rPr>
          <w:rFonts w:ascii="Times New Roman" w:eastAsia="Times New Roman" w:hAnsi="Times New Roman" w:cs="Times New Roman"/>
          <w:color w:val="000000"/>
          <w:sz w:val="24"/>
          <w:szCs w:val="24"/>
          <w:lang w:eastAsia="uk-UA"/>
        </w:rPr>
        <w:t xml:space="preserve"> документів. </w:t>
      </w:r>
    </w:p>
    <w:p w14:paraId="05EA59E9" w14:textId="77777777" w:rsidR="009F4687" w:rsidRPr="009E4EEF" w:rsidRDefault="009F4687" w:rsidP="009E4EEF">
      <w:pPr>
        <w:numPr>
          <w:ilvl w:val="0"/>
          <w:numId w:val="5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lastRenderedPageBreak/>
        <w:t>Кандидату була забезпечена можливість ознайомитись із досьє кандидата на посаду судді. </w:t>
      </w:r>
    </w:p>
    <w:p w14:paraId="0A87E44A" w14:textId="36254AFC" w:rsidR="009F4687" w:rsidRPr="009E4EEF" w:rsidRDefault="009F4687" w:rsidP="009E4EEF">
      <w:pPr>
        <w:numPr>
          <w:ilvl w:val="0"/>
          <w:numId w:val="5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Співбесіду з </w:t>
      </w:r>
      <w:proofErr w:type="spellStart"/>
      <w:r w:rsidRPr="009E4EEF">
        <w:rPr>
          <w:rFonts w:ascii="Times New Roman" w:eastAsia="Times New Roman" w:hAnsi="Times New Roman" w:cs="Times New Roman"/>
          <w:color w:val="000000"/>
          <w:sz w:val="24"/>
          <w:szCs w:val="24"/>
          <w:lang w:eastAsia="uk-UA"/>
        </w:rPr>
        <w:t>Бабаєвим</w:t>
      </w:r>
      <w:proofErr w:type="spellEnd"/>
      <w:r w:rsidRPr="009E4EEF">
        <w:rPr>
          <w:rFonts w:ascii="Times New Roman" w:eastAsia="Times New Roman" w:hAnsi="Times New Roman" w:cs="Times New Roman"/>
          <w:color w:val="000000"/>
          <w:sz w:val="24"/>
          <w:szCs w:val="24"/>
          <w:lang w:eastAsia="uk-UA"/>
        </w:rPr>
        <w:t xml:space="preserve"> А.І. проведено 13 травня 2025 року. На початку співбесіди кандидата ознайомлено з його правами; встановлено відсутні</w:t>
      </w:r>
      <w:r w:rsidR="00D36885" w:rsidRPr="009E4EEF">
        <w:rPr>
          <w:rFonts w:ascii="Times New Roman" w:eastAsia="Times New Roman" w:hAnsi="Times New Roman" w:cs="Times New Roman"/>
          <w:color w:val="000000"/>
          <w:sz w:val="24"/>
          <w:szCs w:val="24"/>
          <w:lang w:eastAsia="uk-UA"/>
        </w:rPr>
        <w:t>сть</w:t>
      </w:r>
      <w:r w:rsidRPr="009E4EEF">
        <w:rPr>
          <w:rFonts w:ascii="Times New Roman" w:eastAsia="Times New Roman" w:hAnsi="Times New Roman" w:cs="Times New Roman"/>
          <w:color w:val="000000"/>
          <w:sz w:val="24"/>
          <w:szCs w:val="24"/>
          <w:lang w:eastAsia="uk-UA"/>
        </w:rPr>
        <w:t xml:space="preserve"> обставин, які перешкоджають проведенню співбесіди. Кандидату також запропоновано надавати уточню</w:t>
      </w:r>
      <w:r w:rsidR="00C552B7" w:rsidRPr="009E4EEF">
        <w:rPr>
          <w:rFonts w:ascii="Times New Roman" w:eastAsia="Times New Roman" w:hAnsi="Times New Roman" w:cs="Times New Roman"/>
          <w:color w:val="000000"/>
          <w:sz w:val="24"/>
          <w:szCs w:val="24"/>
          <w:lang w:eastAsia="uk-UA"/>
        </w:rPr>
        <w:t>юч</w:t>
      </w:r>
      <w:r w:rsidRPr="009E4EEF">
        <w:rPr>
          <w:rFonts w:ascii="Times New Roman" w:eastAsia="Times New Roman" w:hAnsi="Times New Roman" w:cs="Times New Roman"/>
          <w:color w:val="000000"/>
          <w:sz w:val="24"/>
          <w:szCs w:val="24"/>
          <w:lang w:eastAsia="uk-UA"/>
        </w:rPr>
        <w:t xml:space="preserve">у інформацію в разі виявлення </w:t>
      </w:r>
      <w:proofErr w:type="spellStart"/>
      <w:r w:rsidRPr="009E4EEF">
        <w:rPr>
          <w:rFonts w:ascii="Times New Roman" w:eastAsia="Times New Roman" w:hAnsi="Times New Roman" w:cs="Times New Roman"/>
          <w:color w:val="000000"/>
          <w:sz w:val="24"/>
          <w:szCs w:val="24"/>
          <w:lang w:eastAsia="uk-UA"/>
        </w:rPr>
        <w:t>неточностей</w:t>
      </w:r>
      <w:proofErr w:type="spellEnd"/>
      <w:r w:rsidRPr="009E4EEF">
        <w:rPr>
          <w:rFonts w:ascii="Times New Roman" w:eastAsia="Times New Roman" w:hAnsi="Times New Roman" w:cs="Times New Roman"/>
          <w:color w:val="000000"/>
          <w:sz w:val="24"/>
          <w:szCs w:val="24"/>
          <w:lang w:eastAsia="uk-UA"/>
        </w:rPr>
        <w:t xml:space="preserve"> чи неповноти відомостей за результатами дослідження досьє. </w:t>
      </w:r>
    </w:p>
    <w:p w14:paraId="1A4D978B" w14:textId="4C90A3FA" w:rsidR="009F4687" w:rsidRPr="009E4EEF" w:rsidRDefault="009F4687" w:rsidP="009E4EEF">
      <w:pPr>
        <w:numPr>
          <w:ilvl w:val="0"/>
          <w:numId w:val="5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w:t>
      </w:r>
      <w:r w:rsidR="00C552B7" w:rsidRPr="009E4EEF">
        <w:rPr>
          <w:rFonts w:ascii="Times New Roman" w:eastAsia="Times New Roman" w:hAnsi="Times New Roman" w:cs="Times New Roman"/>
          <w:color w:val="000000"/>
          <w:sz w:val="24"/>
          <w:szCs w:val="24"/>
          <w:lang w:eastAsia="uk-UA"/>
        </w:rPr>
        <w:t>ю</w:t>
      </w:r>
      <w:r w:rsidRPr="009E4EEF">
        <w:rPr>
          <w:rFonts w:ascii="Times New Roman" w:eastAsia="Times New Roman" w:hAnsi="Times New Roman" w:cs="Times New Roman"/>
          <w:color w:val="000000"/>
          <w:sz w:val="24"/>
          <w:szCs w:val="24"/>
          <w:lang w:eastAsia="uk-UA"/>
        </w:rPr>
        <w:t xml:space="preserve"> доброчесності та професійної етики.</w:t>
      </w:r>
    </w:p>
    <w:p w14:paraId="06563411" w14:textId="77777777" w:rsidR="00D8779E" w:rsidRPr="009E4EEF" w:rsidRDefault="00D8779E"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2DBB6CDD"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u w:val="single"/>
          <w:lang w:eastAsia="uk-UA"/>
        </w:rPr>
        <w:t>V-ІІ. Встановлення відповідності кандидата критерію особистої компетентності. </w:t>
      </w:r>
    </w:p>
    <w:p w14:paraId="0A4C2B10" w14:textId="341814E4"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57D79FF8" w14:textId="6DAAED7E" w:rsidR="00391CDF" w:rsidRPr="009E4EEF" w:rsidRDefault="00C552B7" w:rsidP="009E4EEF">
      <w:pPr>
        <w:pStyle w:val="a4"/>
        <w:numPr>
          <w:ilvl w:val="0"/>
          <w:numId w:val="54"/>
        </w:numPr>
        <w:shd w:val="clear" w:color="auto" w:fill="FFFFFF"/>
        <w:tabs>
          <w:tab w:val="left" w:pos="426"/>
        </w:tabs>
        <w:ind w:left="0" w:firstLine="709"/>
        <w:jc w:val="both"/>
        <w:rPr>
          <w:color w:val="000000"/>
          <w:lang w:eastAsia="uk-UA"/>
        </w:rPr>
      </w:pPr>
      <w:r w:rsidRPr="009E4EEF">
        <w:rPr>
          <w:color w:val="000000"/>
          <w:lang w:eastAsia="uk-UA"/>
        </w:rPr>
        <w:t>Із змісту</w:t>
      </w:r>
      <w:r w:rsidR="00391CDF" w:rsidRPr="009E4EEF">
        <w:rPr>
          <w:color w:val="000000"/>
          <w:lang w:eastAsia="uk-UA"/>
        </w:rPr>
        <w:t xml:space="preserve"> пункт</w:t>
      </w:r>
      <w:r w:rsidRPr="009E4EEF">
        <w:rPr>
          <w:color w:val="000000"/>
          <w:lang w:eastAsia="uk-UA"/>
        </w:rPr>
        <w:t>ів</w:t>
      </w:r>
      <w:r w:rsidR="00391CDF" w:rsidRPr="009E4EEF">
        <w:rPr>
          <w:color w:val="000000"/>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391CDF" w:rsidRPr="009E4EEF">
        <w:rPr>
          <w:color w:val="000000"/>
          <w:lang w:eastAsia="uk-UA"/>
        </w:rPr>
        <w:t>відповідально</w:t>
      </w:r>
      <w:proofErr w:type="spellEnd"/>
      <w:r w:rsidR="00391CDF" w:rsidRPr="009E4EEF">
        <w:rPr>
          <w:color w:val="000000"/>
          <w:lang w:eastAsia="uk-UA"/>
        </w:rPr>
        <w:t xml:space="preserve">, самостійно, цілеспрямовано та </w:t>
      </w:r>
      <w:proofErr w:type="spellStart"/>
      <w:r w:rsidR="00391CDF" w:rsidRPr="009E4EEF">
        <w:rPr>
          <w:color w:val="000000"/>
          <w:lang w:eastAsia="uk-UA"/>
        </w:rPr>
        <w:t>стійко</w:t>
      </w:r>
      <w:proofErr w:type="spellEnd"/>
      <w:r w:rsidR="00391CDF" w:rsidRPr="009E4EEF">
        <w:rPr>
          <w:color w:val="000000"/>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0620CA88" w14:textId="77777777" w:rsidR="00391CDF" w:rsidRPr="009E4EEF" w:rsidRDefault="00391CDF" w:rsidP="009E4EEF">
      <w:pPr>
        <w:pStyle w:val="a4"/>
        <w:numPr>
          <w:ilvl w:val="0"/>
          <w:numId w:val="54"/>
        </w:numPr>
        <w:shd w:val="clear" w:color="auto" w:fill="FFFFFF"/>
        <w:tabs>
          <w:tab w:val="left" w:pos="426"/>
        </w:tabs>
        <w:ind w:left="0" w:firstLine="709"/>
        <w:jc w:val="both"/>
        <w:rPr>
          <w:color w:val="000000"/>
          <w:lang w:eastAsia="uk-UA"/>
        </w:rPr>
      </w:pPr>
      <w:r w:rsidRPr="009E4EEF">
        <w:rPr>
          <w:color w:val="000000"/>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3068A4A" w14:textId="11B3B0BA" w:rsidR="00391CDF" w:rsidRPr="009E4EEF" w:rsidRDefault="00391CDF" w:rsidP="009E4EEF">
      <w:pPr>
        <w:pStyle w:val="a4"/>
        <w:numPr>
          <w:ilvl w:val="1"/>
          <w:numId w:val="114"/>
        </w:numPr>
        <w:shd w:val="clear" w:color="auto" w:fill="FFFFFF"/>
        <w:tabs>
          <w:tab w:val="left" w:pos="426"/>
        </w:tabs>
        <w:ind w:left="709" w:firstLine="284"/>
        <w:jc w:val="both"/>
        <w:rPr>
          <w:color w:val="000000"/>
          <w:lang w:eastAsia="uk-UA"/>
        </w:rPr>
      </w:pPr>
      <w:r w:rsidRPr="009E4EEF">
        <w:rPr>
          <w:color w:val="000000"/>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1CF40C48" w14:textId="32DC72C2" w:rsidR="00391CDF" w:rsidRPr="009E4EEF" w:rsidRDefault="00391CDF" w:rsidP="009E4EEF">
      <w:pPr>
        <w:pStyle w:val="a4"/>
        <w:numPr>
          <w:ilvl w:val="1"/>
          <w:numId w:val="114"/>
        </w:numPr>
        <w:shd w:val="clear" w:color="auto" w:fill="FFFFFF"/>
        <w:tabs>
          <w:tab w:val="left" w:pos="426"/>
        </w:tabs>
        <w:ind w:left="709" w:firstLine="284"/>
        <w:jc w:val="both"/>
        <w:rPr>
          <w:color w:val="000000"/>
          <w:lang w:eastAsia="uk-UA"/>
        </w:rPr>
      </w:pPr>
      <w:r w:rsidRPr="009E4EEF">
        <w:rPr>
          <w:color w:val="000000"/>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5987E000" w14:textId="77777777" w:rsidR="00391CDF" w:rsidRPr="009E4EEF" w:rsidRDefault="00391CDF" w:rsidP="009E4EEF">
      <w:pPr>
        <w:pStyle w:val="a4"/>
        <w:numPr>
          <w:ilvl w:val="0"/>
          <w:numId w:val="114"/>
        </w:numPr>
        <w:shd w:val="clear" w:color="auto" w:fill="FFFFFF"/>
        <w:ind w:left="0" w:firstLine="709"/>
        <w:jc w:val="both"/>
        <w:rPr>
          <w:color w:val="000000"/>
          <w:lang w:eastAsia="uk-UA"/>
        </w:rPr>
      </w:pPr>
      <w:r w:rsidRPr="009E4EEF">
        <w:rPr>
          <w:color w:val="000000"/>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CA94288" w14:textId="77777777" w:rsidR="00391CDF" w:rsidRPr="009E4EEF" w:rsidRDefault="00391CDF" w:rsidP="009E4EEF">
      <w:pPr>
        <w:pStyle w:val="a4"/>
        <w:numPr>
          <w:ilvl w:val="0"/>
          <w:numId w:val="114"/>
        </w:numPr>
        <w:shd w:val="clear" w:color="auto" w:fill="FFFFFF"/>
        <w:ind w:left="0" w:firstLine="709"/>
        <w:jc w:val="both"/>
        <w:rPr>
          <w:color w:val="000000"/>
          <w:lang w:eastAsia="uk-UA"/>
        </w:rPr>
      </w:pPr>
      <w:r w:rsidRPr="009E4EEF">
        <w:rPr>
          <w:color w:val="000000"/>
          <w:lang w:eastAsia="uk-UA"/>
        </w:rPr>
        <w:t>Вагу критерію особистої компетентності та її показників визначено таким чином: особиста компетентність – 50 балів, з яких:</w:t>
      </w:r>
      <w:bookmarkStart w:id="1" w:name="143"/>
      <w:bookmarkEnd w:id="1"/>
      <w:r w:rsidRPr="009E4EEF">
        <w:rPr>
          <w:color w:val="000000"/>
          <w:lang w:eastAsia="uk-UA"/>
        </w:rPr>
        <w:t xml:space="preserve"> рішучість та відповідальність – 25 балів</w:t>
      </w:r>
      <w:bookmarkStart w:id="2" w:name="144"/>
      <w:bookmarkEnd w:id="2"/>
      <w:r w:rsidRPr="009E4EEF">
        <w:rPr>
          <w:color w:val="000000"/>
          <w:lang w:eastAsia="uk-UA"/>
        </w:rPr>
        <w:t>; безперервний розвиток – 25 балів.</w:t>
      </w:r>
      <w:bookmarkStart w:id="3" w:name="145"/>
      <w:bookmarkEnd w:id="3"/>
    </w:p>
    <w:p w14:paraId="146A2FC7" w14:textId="265559F8" w:rsidR="00391CDF" w:rsidRPr="009E4EEF" w:rsidRDefault="00391CDF" w:rsidP="009E4EEF">
      <w:pPr>
        <w:pStyle w:val="a4"/>
        <w:numPr>
          <w:ilvl w:val="0"/>
          <w:numId w:val="114"/>
        </w:numPr>
        <w:shd w:val="clear" w:color="auto" w:fill="FFFFFF"/>
        <w:ind w:left="0" w:firstLine="709"/>
        <w:jc w:val="both"/>
        <w:rPr>
          <w:color w:val="000000"/>
          <w:lang w:eastAsia="uk-UA"/>
        </w:rPr>
      </w:pPr>
      <w:r w:rsidRPr="009E4EEF">
        <w:rPr>
          <w:color w:val="000000"/>
          <w:lang w:eastAsia="uk-UA"/>
        </w:rPr>
        <w:lastRenderedPageBreak/>
        <w:t xml:space="preserve">Комісія відзначає, що Положення про проведення конкурсу, а також Положення про кваліфікаційне оцінювання </w:t>
      </w:r>
      <w:r w:rsidR="00340034" w:rsidRPr="009E4EEF">
        <w:rPr>
          <w:color w:val="000000"/>
          <w:lang w:eastAsia="uk-UA"/>
        </w:rPr>
        <w:t>об’єднані</w:t>
      </w:r>
      <w:r w:rsidRPr="009E4EEF">
        <w:rPr>
          <w:color w:val="000000"/>
          <w:lang w:eastAsia="uk-UA"/>
        </w:rPr>
        <w:t xml:space="preserve"> принцип</w:t>
      </w:r>
      <w:r w:rsidR="00340034" w:rsidRPr="009E4EEF">
        <w:rPr>
          <w:color w:val="000000"/>
          <w:lang w:eastAsia="uk-UA"/>
        </w:rPr>
        <w:t>ом</w:t>
      </w:r>
      <w:r w:rsidRPr="009E4EEF">
        <w:rPr>
          <w:color w:val="000000"/>
          <w:lang w:eastAsia="uk-UA"/>
        </w:rPr>
        <w:t xml:space="preserve">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48B7AD00" w14:textId="77777777" w:rsidR="00391CDF" w:rsidRPr="009E4EEF" w:rsidRDefault="00391CDF" w:rsidP="009E4EEF">
      <w:pPr>
        <w:pStyle w:val="a4"/>
        <w:numPr>
          <w:ilvl w:val="0"/>
          <w:numId w:val="114"/>
        </w:numPr>
        <w:shd w:val="clear" w:color="auto" w:fill="FFFFFF"/>
        <w:ind w:left="0" w:firstLine="709"/>
        <w:jc w:val="both"/>
        <w:rPr>
          <w:color w:val="000000"/>
          <w:lang w:eastAsia="uk-UA"/>
        </w:rPr>
      </w:pPr>
      <w:r w:rsidRPr="009E4EEF">
        <w:rPr>
          <w:color w:val="000000"/>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4974AC52" w14:textId="33693485" w:rsidR="00391CDF" w:rsidRPr="009E4EEF" w:rsidRDefault="00391CDF" w:rsidP="009E4EEF">
      <w:pPr>
        <w:pStyle w:val="a4"/>
        <w:numPr>
          <w:ilvl w:val="0"/>
          <w:numId w:val="114"/>
        </w:numPr>
        <w:shd w:val="clear" w:color="auto" w:fill="FFFFFF"/>
        <w:ind w:left="0" w:firstLine="709"/>
        <w:jc w:val="both"/>
        <w:rPr>
          <w:color w:val="000000"/>
          <w:lang w:eastAsia="uk-UA"/>
        </w:rPr>
      </w:pPr>
      <w:r w:rsidRPr="009E4EEF">
        <w:rPr>
          <w:color w:val="000000"/>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1C039F08" w14:textId="7B5D0FC7" w:rsidR="00391CDF" w:rsidRPr="009E4EEF" w:rsidRDefault="00391CDF" w:rsidP="009E4EEF">
      <w:pPr>
        <w:pStyle w:val="a4"/>
        <w:numPr>
          <w:ilvl w:val="0"/>
          <w:numId w:val="114"/>
        </w:numPr>
        <w:shd w:val="clear" w:color="auto" w:fill="FFFFFF"/>
        <w:ind w:left="0" w:firstLine="709"/>
        <w:jc w:val="both"/>
        <w:rPr>
          <w:color w:val="000000"/>
          <w:lang w:eastAsia="uk-UA"/>
        </w:rPr>
      </w:pPr>
      <w:r w:rsidRPr="009E4EEF">
        <w:rPr>
          <w:color w:val="000000"/>
          <w:lang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w:t>
      </w:r>
      <w:r w:rsidR="00340034" w:rsidRPr="009E4EEF">
        <w:rPr>
          <w:color w:val="000000"/>
          <w:lang w:eastAsia="uk-UA"/>
        </w:rPr>
        <w:t xml:space="preserve">переконливо </w:t>
      </w:r>
      <w:r w:rsidRPr="009E4EEF">
        <w:rPr>
          <w:color w:val="000000"/>
          <w:lang w:eastAsia="uk-UA"/>
        </w:rPr>
        <w:t>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14:paraId="51F8B632" w14:textId="0D0AF1E6" w:rsidR="00391CDF" w:rsidRPr="009E4EEF" w:rsidRDefault="00391CDF" w:rsidP="009E4EEF">
      <w:pPr>
        <w:pStyle w:val="a4"/>
        <w:numPr>
          <w:ilvl w:val="0"/>
          <w:numId w:val="114"/>
        </w:numPr>
        <w:shd w:val="clear" w:color="auto" w:fill="FFFFFF"/>
        <w:ind w:left="0" w:firstLine="709"/>
        <w:jc w:val="both"/>
        <w:rPr>
          <w:color w:val="000000"/>
          <w:lang w:eastAsia="uk-UA"/>
        </w:rPr>
      </w:pPr>
      <w:r w:rsidRPr="009E4EEF">
        <w:rPr>
          <w:color w:val="000000"/>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w:t>
      </w:r>
      <w:r w:rsidR="00420D83" w:rsidRPr="009E4EEF">
        <w:rPr>
          <w:color w:val="000000"/>
          <w:lang w:eastAsia="uk-UA"/>
        </w:rPr>
        <w:t>вказ</w:t>
      </w:r>
      <w:r w:rsidRPr="009E4EEF">
        <w:rPr>
          <w:color w:val="000000"/>
          <w:lang w:eastAsia="uk-UA"/>
        </w:rPr>
        <w:t xml:space="preserve">аних ним відомостей, що підтверджують відповідність показникам особистої компетентності. </w:t>
      </w:r>
    </w:p>
    <w:p w14:paraId="4D727028" w14:textId="2AD7A305" w:rsidR="00391CDF" w:rsidRPr="009E4EEF" w:rsidRDefault="00391CDF" w:rsidP="009E4EEF">
      <w:pPr>
        <w:pStyle w:val="a4"/>
        <w:numPr>
          <w:ilvl w:val="0"/>
          <w:numId w:val="114"/>
        </w:numPr>
        <w:shd w:val="clear" w:color="auto" w:fill="FFFFFF"/>
        <w:ind w:left="0" w:firstLine="669"/>
        <w:jc w:val="both"/>
        <w:rPr>
          <w:color w:val="000000"/>
          <w:lang w:eastAsia="uk-UA"/>
        </w:rPr>
      </w:pPr>
      <w:r w:rsidRPr="009E4EEF">
        <w:rPr>
          <w:color w:val="000000"/>
          <w:lang w:eastAsia="uk-UA"/>
        </w:rPr>
        <w:t xml:space="preserve">Саме </w:t>
      </w:r>
      <w:r w:rsidR="00420D83" w:rsidRPr="009E4EEF">
        <w:rPr>
          <w:color w:val="000000"/>
          <w:lang w:eastAsia="uk-UA"/>
        </w:rPr>
        <w:t xml:space="preserve">під час </w:t>
      </w:r>
      <w:r w:rsidRPr="009E4EEF">
        <w:rPr>
          <w:color w:val="000000"/>
          <w:lang w:eastAsia="uk-UA"/>
        </w:rPr>
        <w:t>співбесід</w:t>
      </w:r>
      <w:r w:rsidR="00420D83" w:rsidRPr="009E4EEF">
        <w:rPr>
          <w:color w:val="000000"/>
          <w:lang w:eastAsia="uk-UA"/>
        </w:rPr>
        <w:t>и</w:t>
      </w:r>
      <w:r w:rsidRPr="009E4EEF">
        <w:rPr>
          <w:color w:val="000000"/>
          <w:lang w:eastAsia="uk-UA"/>
        </w:rPr>
        <w:t xml:space="preserve"> формує</w:t>
      </w:r>
      <w:r w:rsidR="00420D83" w:rsidRPr="009E4EEF">
        <w:rPr>
          <w:color w:val="000000"/>
          <w:lang w:eastAsia="uk-UA"/>
        </w:rPr>
        <w:t>ться</w:t>
      </w:r>
      <w:r w:rsidRPr="009E4EEF">
        <w:rPr>
          <w:color w:val="000000"/>
          <w:lang w:eastAsia="uk-UA"/>
        </w:rPr>
        <w:t xml:space="preserve"> остаточн</w:t>
      </w:r>
      <w:r w:rsidR="00420D83" w:rsidRPr="009E4EEF">
        <w:rPr>
          <w:color w:val="000000"/>
          <w:lang w:eastAsia="uk-UA"/>
        </w:rPr>
        <w:t>а</w:t>
      </w:r>
      <w:r w:rsidRPr="009E4EEF">
        <w:rPr>
          <w:color w:val="000000"/>
          <w:lang w:eastAsia="uk-UA"/>
        </w:rPr>
        <w:t xml:space="preserve"> оцінк</w:t>
      </w:r>
      <w:r w:rsidR="00420D83" w:rsidRPr="009E4EEF">
        <w:rPr>
          <w:color w:val="000000"/>
          <w:lang w:eastAsia="uk-UA"/>
        </w:rPr>
        <w:t>а</w:t>
      </w:r>
      <w:r w:rsidRPr="009E4EEF">
        <w:rPr>
          <w:color w:val="000000"/>
          <w:lang w:eastAsia="uk-UA"/>
        </w:rPr>
        <w:t xml:space="preserve"> кандидата на посаду судді. У зв’язку із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w:t>
      </w:r>
      <w:r w:rsidR="00F062D2" w:rsidRPr="009E4EEF">
        <w:rPr>
          <w:color w:val="000000"/>
          <w:lang w:eastAsia="uk-UA"/>
        </w:rPr>
        <w:t>.</w:t>
      </w:r>
      <w:r w:rsidRPr="009E4EEF">
        <w:rPr>
          <w:color w:val="000000"/>
          <w:lang w:eastAsia="uk-UA"/>
        </w:rPr>
        <w:t xml:space="preserve">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513A289A" w14:textId="72041B15" w:rsidR="009F4687" w:rsidRPr="009E4EEF" w:rsidRDefault="009F4687" w:rsidP="009E4EEF">
      <w:pPr>
        <w:numPr>
          <w:ilvl w:val="0"/>
          <w:numId w:val="114"/>
        </w:numPr>
        <w:shd w:val="clear" w:color="auto" w:fill="FFFFFF"/>
        <w:spacing w:after="0" w:line="240" w:lineRule="auto"/>
        <w:ind w:left="0" w:firstLine="66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Так, під час співбесіди Комісія звернула увагу на таке:</w:t>
      </w:r>
    </w:p>
    <w:p w14:paraId="3F3473C3" w14:textId="1A32786C" w:rsidR="009F4687" w:rsidRPr="009E4EEF" w:rsidRDefault="009F4687" w:rsidP="009E4EEF">
      <w:pPr>
        <w:numPr>
          <w:ilvl w:val="1"/>
          <w:numId w:val="114"/>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Кандидат у письмових поясненнях нав</w:t>
      </w:r>
      <w:r w:rsidR="00F062D2" w:rsidRPr="009E4EEF">
        <w:rPr>
          <w:rFonts w:ascii="Times New Roman" w:eastAsia="Times New Roman" w:hAnsi="Times New Roman" w:cs="Times New Roman"/>
          <w:color w:val="000000"/>
          <w:sz w:val="24"/>
          <w:szCs w:val="24"/>
          <w:lang w:eastAsia="uk-UA"/>
        </w:rPr>
        <w:t>ів</w:t>
      </w:r>
      <w:r w:rsidRPr="009E4EEF">
        <w:rPr>
          <w:rFonts w:ascii="Times New Roman" w:eastAsia="Times New Roman" w:hAnsi="Times New Roman" w:cs="Times New Roman"/>
          <w:color w:val="000000"/>
          <w:sz w:val="24"/>
          <w:szCs w:val="24"/>
          <w:lang w:eastAsia="uk-UA"/>
        </w:rPr>
        <w:t xml:space="preserve"> формальні приклади сво</w:t>
      </w:r>
      <w:r w:rsidR="009C3B0F" w:rsidRPr="009E4EEF">
        <w:rPr>
          <w:rFonts w:ascii="Times New Roman" w:eastAsia="Times New Roman" w:hAnsi="Times New Roman" w:cs="Times New Roman"/>
          <w:color w:val="000000"/>
          <w:sz w:val="24"/>
          <w:szCs w:val="24"/>
          <w:lang w:eastAsia="uk-UA"/>
        </w:rPr>
        <w:t>єї</w:t>
      </w:r>
      <w:r w:rsidRPr="009E4EEF">
        <w:rPr>
          <w:rFonts w:ascii="Times New Roman" w:eastAsia="Times New Roman" w:hAnsi="Times New Roman" w:cs="Times New Roman"/>
          <w:color w:val="000000"/>
          <w:sz w:val="24"/>
          <w:szCs w:val="24"/>
          <w:lang w:eastAsia="uk-UA"/>
        </w:rPr>
        <w:t xml:space="preserve"> відповідності показникам, а саме зазначив, що накладав штраф за невиконання рішення</w:t>
      </w:r>
      <w:r w:rsidR="00F062D2" w:rsidRPr="009E4EEF">
        <w:rPr>
          <w:rFonts w:ascii="Times New Roman" w:eastAsia="Times New Roman" w:hAnsi="Times New Roman" w:cs="Times New Roman"/>
          <w:color w:val="000000"/>
          <w:sz w:val="24"/>
          <w:szCs w:val="24"/>
          <w:lang w:eastAsia="uk-UA"/>
        </w:rPr>
        <w:t>. О</w:t>
      </w:r>
      <w:r w:rsidRPr="009E4EEF">
        <w:rPr>
          <w:rFonts w:ascii="Times New Roman" w:eastAsia="Times New Roman" w:hAnsi="Times New Roman" w:cs="Times New Roman"/>
          <w:color w:val="000000"/>
          <w:sz w:val="24"/>
          <w:szCs w:val="24"/>
          <w:lang w:eastAsia="uk-UA"/>
        </w:rPr>
        <w:t xml:space="preserve">днак на співбесіді </w:t>
      </w:r>
      <w:r w:rsidR="00F062D2" w:rsidRPr="009E4EEF">
        <w:rPr>
          <w:rFonts w:ascii="Times New Roman" w:eastAsia="Times New Roman" w:hAnsi="Times New Roman" w:cs="Times New Roman"/>
          <w:color w:val="000000"/>
          <w:sz w:val="24"/>
          <w:szCs w:val="24"/>
          <w:lang w:eastAsia="uk-UA"/>
        </w:rPr>
        <w:t>з’ясувалося</w:t>
      </w:r>
      <w:r w:rsidRPr="009E4EEF">
        <w:rPr>
          <w:rFonts w:ascii="Times New Roman" w:eastAsia="Times New Roman" w:hAnsi="Times New Roman" w:cs="Times New Roman"/>
          <w:color w:val="000000"/>
          <w:sz w:val="24"/>
          <w:szCs w:val="24"/>
          <w:lang w:eastAsia="uk-UA"/>
        </w:rPr>
        <w:t xml:space="preserve">, що </w:t>
      </w:r>
      <w:r w:rsidR="00A86883" w:rsidRPr="009E4EEF">
        <w:rPr>
          <w:rFonts w:ascii="Times New Roman" w:eastAsia="Times New Roman" w:hAnsi="Times New Roman" w:cs="Times New Roman"/>
          <w:color w:val="000000"/>
          <w:sz w:val="24"/>
          <w:szCs w:val="24"/>
          <w:lang w:eastAsia="uk-UA"/>
        </w:rPr>
        <w:t>йшлося</w:t>
      </w:r>
      <w:r w:rsidRPr="009E4EEF">
        <w:rPr>
          <w:rFonts w:ascii="Times New Roman" w:eastAsia="Times New Roman" w:hAnsi="Times New Roman" w:cs="Times New Roman"/>
          <w:color w:val="000000"/>
          <w:sz w:val="24"/>
          <w:szCs w:val="24"/>
          <w:lang w:eastAsia="uk-UA"/>
        </w:rPr>
        <w:t xml:space="preserve"> про один </w:t>
      </w:r>
      <w:r w:rsidR="00A86883" w:rsidRPr="009E4EEF">
        <w:rPr>
          <w:rFonts w:ascii="Times New Roman" w:eastAsia="Times New Roman" w:hAnsi="Times New Roman" w:cs="Times New Roman"/>
          <w:color w:val="000000"/>
          <w:sz w:val="24"/>
          <w:szCs w:val="24"/>
          <w:lang w:eastAsia="uk-UA"/>
        </w:rPr>
        <w:t xml:space="preserve">нещодавній </w:t>
      </w:r>
      <w:r w:rsidRPr="009E4EEF">
        <w:rPr>
          <w:rFonts w:ascii="Times New Roman" w:eastAsia="Times New Roman" w:hAnsi="Times New Roman" w:cs="Times New Roman"/>
          <w:color w:val="000000"/>
          <w:sz w:val="24"/>
          <w:szCs w:val="24"/>
          <w:lang w:eastAsia="uk-UA"/>
        </w:rPr>
        <w:t>випадок за весь період роботи. </w:t>
      </w:r>
    </w:p>
    <w:p w14:paraId="5A49D52F" w14:textId="4E3FABA7" w:rsidR="009F4687" w:rsidRPr="009E4EEF" w:rsidRDefault="009F4687" w:rsidP="009E4EEF">
      <w:pPr>
        <w:numPr>
          <w:ilvl w:val="1"/>
          <w:numId w:val="114"/>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Кандидат у листі до Комісії довільн</w:t>
      </w:r>
      <w:r w:rsidR="0015221C" w:rsidRPr="009E4EEF">
        <w:rPr>
          <w:rFonts w:ascii="Times New Roman" w:eastAsia="Times New Roman" w:hAnsi="Times New Roman" w:cs="Times New Roman"/>
          <w:color w:val="000000"/>
          <w:sz w:val="24"/>
          <w:szCs w:val="24"/>
          <w:lang w:eastAsia="uk-UA"/>
        </w:rPr>
        <w:t>о</w:t>
      </w:r>
      <w:r w:rsidRPr="009E4EEF">
        <w:rPr>
          <w:rFonts w:ascii="Times New Roman" w:eastAsia="Times New Roman" w:hAnsi="Times New Roman" w:cs="Times New Roman"/>
          <w:color w:val="000000"/>
          <w:sz w:val="24"/>
          <w:szCs w:val="24"/>
          <w:lang w:eastAsia="uk-UA"/>
        </w:rPr>
        <w:t xml:space="preserve"> інтерпрет</w:t>
      </w:r>
      <w:r w:rsidR="0015221C" w:rsidRPr="009E4EEF">
        <w:rPr>
          <w:rFonts w:ascii="Times New Roman" w:eastAsia="Times New Roman" w:hAnsi="Times New Roman" w:cs="Times New Roman"/>
          <w:color w:val="000000"/>
          <w:sz w:val="24"/>
          <w:szCs w:val="24"/>
          <w:lang w:eastAsia="uk-UA"/>
        </w:rPr>
        <w:t>ував</w:t>
      </w:r>
      <w:r w:rsidRPr="009E4EEF">
        <w:rPr>
          <w:rFonts w:ascii="Times New Roman" w:eastAsia="Times New Roman" w:hAnsi="Times New Roman" w:cs="Times New Roman"/>
          <w:color w:val="000000"/>
          <w:sz w:val="24"/>
          <w:szCs w:val="24"/>
          <w:lang w:eastAsia="uk-UA"/>
        </w:rPr>
        <w:t xml:space="preserve"> понят</w:t>
      </w:r>
      <w:r w:rsidR="0015221C" w:rsidRPr="009E4EEF">
        <w:rPr>
          <w:rFonts w:ascii="Times New Roman" w:eastAsia="Times New Roman" w:hAnsi="Times New Roman" w:cs="Times New Roman"/>
          <w:color w:val="000000"/>
          <w:sz w:val="24"/>
          <w:szCs w:val="24"/>
          <w:lang w:eastAsia="uk-UA"/>
        </w:rPr>
        <w:t>тя</w:t>
      </w:r>
      <w:r w:rsidRPr="009E4EEF">
        <w:rPr>
          <w:rFonts w:ascii="Times New Roman" w:eastAsia="Times New Roman" w:hAnsi="Times New Roman" w:cs="Times New Roman"/>
          <w:color w:val="000000"/>
          <w:sz w:val="24"/>
          <w:szCs w:val="24"/>
          <w:lang w:eastAsia="uk-UA"/>
        </w:rPr>
        <w:t xml:space="preserve"> </w:t>
      </w:r>
      <w:r w:rsidR="009C3B0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тиску</w:t>
      </w:r>
      <w:r w:rsidR="009C3B0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і </w:t>
      </w:r>
      <w:r w:rsidR="009C3B0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правової невизначеності</w:t>
      </w:r>
      <w:r w:rsidR="009C3B0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w:t>
      </w:r>
      <w:r w:rsidR="0015221C" w:rsidRPr="009E4EEF">
        <w:rPr>
          <w:rFonts w:ascii="Times New Roman" w:eastAsia="Times New Roman" w:hAnsi="Times New Roman" w:cs="Times New Roman"/>
          <w:color w:val="000000"/>
          <w:sz w:val="24"/>
          <w:szCs w:val="24"/>
          <w:lang w:eastAsia="uk-UA"/>
        </w:rPr>
        <w:t>Він</w:t>
      </w:r>
      <w:r w:rsidRPr="009E4EEF">
        <w:rPr>
          <w:rFonts w:ascii="Times New Roman" w:eastAsia="Times New Roman" w:hAnsi="Times New Roman" w:cs="Times New Roman"/>
          <w:color w:val="000000"/>
          <w:sz w:val="24"/>
          <w:szCs w:val="24"/>
          <w:lang w:eastAsia="uk-UA"/>
        </w:rPr>
        <w:t xml:space="preserve"> поклика</w:t>
      </w:r>
      <w:r w:rsidR="0015221C"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 xml:space="preserve">ся на </w:t>
      </w:r>
      <w:r w:rsidR="0033234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психологічний тиск</w:t>
      </w:r>
      <w:r w:rsidR="0033234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та </w:t>
      </w:r>
      <w:r w:rsidR="009C3B0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правову невизначеність</w:t>
      </w:r>
      <w:r w:rsidR="009C3B0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як на виклики, з якими він успішно справляється. Але на співбесіді з’ясувалось, що під </w:t>
      </w:r>
      <w:r w:rsidR="0033234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психологічним тиском</w:t>
      </w:r>
      <w:r w:rsidR="0033234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він розуміє звичайне робоче навантаження, а під </w:t>
      </w:r>
      <w:r w:rsidR="0033234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правовою невизначеністю</w:t>
      </w:r>
      <w:r w:rsidR="0033234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w:t>
      </w:r>
      <w:r w:rsidR="0033234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юрисдикційні спори, які він вважав очевидними.</w:t>
      </w:r>
    </w:p>
    <w:p w14:paraId="35D71B0D" w14:textId="5DF69217" w:rsidR="009F4687" w:rsidRPr="009E4EEF" w:rsidRDefault="009F4687" w:rsidP="009E4EEF">
      <w:pPr>
        <w:numPr>
          <w:ilvl w:val="1"/>
          <w:numId w:val="114"/>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Кандидат </w:t>
      </w:r>
      <w:r w:rsidR="003D15A8" w:rsidRPr="009E4EEF">
        <w:rPr>
          <w:rFonts w:ascii="Times New Roman" w:eastAsia="Times New Roman" w:hAnsi="Times New Roman" w:cs="Times New Roman"/>
          <w:color w:val="000000"/>
          <w:sz w:val="24"/>
          <w:szCs w:val="24"/>
          <w:lang w:eastAsia="uk-UA"/>
        </w:rPr>
        <w:t>на співбесіді не навів рішень</w:t>
      </w:r>
      <w:r w:rsidRPr="009E4EEF">
        <w:rPr>
          <w:rFonts w:ascii="Times New Roman" w:eastAsia="Times New Roman" w:hAnsi="Times New Roman" w:cs="Times New Roman"/>
          <w:color w:val="000000"/>
          <w:sz w:val="24"/>
          <w:szCs w:val="24"/>
          <w:lang w:eastAsia="uk-UA"/>
        </w:rPr>
        <w:t>, в яких самостійно виявив хибн</w:t>
      </w:r>
      <w:r w:rsidR="00E67F0D" w:rsidRPr="009E4EEF">
        <w:rPr>
          <w:rFonts w:ascii="Times New Roman" w:eastAsia="Times New Roman" w:hAnsi="Times New Roman" w:cs="Times New Roman"/>
          <w:color w:val="000000"/>
          <w:sz w:val="24"/>
          <w:szCs w:val="24"/>
          <w:lang w:eastAsia="uk-UA"/>
        </w:rPr>
        <w:t xml:space="preserve">ий підхід </w:t>
      </w:r>
      <w:r w:rsidR="00017AF5" w:rsidRPr="009E4EEF">
        <w:rPr>
          <w:rFonts w:ascii="Times New Roman" w:eastAsia="Times New Roman" w:hAnsi="Times New Roman" w:cs="Times New Roman"/>
          <w:color w:val="000000"/>
          <w:sz w:val="24"/>
          <w:szCs w:val="24"/>
          <w:lang w:eastAsia="uk-UA"/>
        </w:rPr>
        <w:t>до розгляду справ</w:t>
      </w:r>
      <w:r w:rsidR="008D7DEF"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та змінив</w:t>
      </w:r>
      <w:r w:rsidR="00E67F0D" w:rsidRPr="009E4EEF">
        <w:rPr>
          <w:rFonts w:ascii="Times New Roman" w:eastAsia="Times New Roman" w:hAnsi="Times New Roman" w:cs="Times New Roman"/>
          <w:color w:val="000000"/>
          <w:sz w:val="24"/>
          <w:szCs w:val="24"/>
          <w:lang w:eastAsia="uk-UA"/>
        </w:rPr>
        <w:t xml:space="preserve"> цю</w:t>
      </w:r>
      <w:r w:rsidRPr="009E4EEF">
        <w:rPr>
          <w:rFonts w:ascii="Times New Roman" w:eastAsia="Times New Roman" w:hAnsi="Times New Roman" w:cs="Times New Roman"/>
          <w:color w:val="000000"/>
          <w:sz w:val="24"/>
          <w:szCs w:val="24"/>
          <w:lang w:eastAsia="uk-UA"/>
        </w:rPr>
        <w:t xml:space="preserve"> практику</w:t>
      </w:r>
      <w:r w:rsidR="00E67F0D"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Таким чином, кандидат всупереч власним письмовим твердженням не зміг переконливо </w:t>
      </w:r>
      <w:r w:rsidR="00017AF5" w:rsidRPr="009E4EEF">
        <w:rPr>
          <w:rFonts w:ascii="Times New Roman" w:eastAsia="Times New Roman" w:hAnsi="Times New Roman" w:cs="Times New Roman"/>
          <w:color w:val="000000"/>
          <w:sz w:val="24"/>
          <w:szCs w:val="24"/>
          <w:lang w:eastAsia="uk-UA"/>
        </w:rPr>
        <w:t xml:space="preserve">на прикладах </w:t>
      </w:r>
      <w:r w:rsidRPr="009E4EEF">
        <w:rPr>
          <w:rFonts w:ascii="Times New Roman" w:eastAsia="Times New Roman" w:hAnsi="Times New Roman" w:cs="Times New Roman"/>
          <w:color w:val="000000"/>
          <w:sz w:val="24"/>
          <w:szCs w:val="24"/>
          <w:lang w:eastAsia="uk-UA"/>
        </w:rPr>
        <w:t>продемонструвати здійснення ним ефективного аналізу</w:t>
      </w:r>
      <w:r w:rsidR="007B183F" w:rsidRPr="009E4EEF">
        <w:rPr>
          <w:rFonts w:ascii="Times New Roman" w:eastAsia="Times New Roman" w:hAnsi="Times New Roman" w:cs="Times New Roman"/>
          <w:color w:val="000000"/>
          <w:sz w:val="24"/>
          <w:szCs w:val="24"/>
          <w:lang w:eastAsia="uk-UA"/>
        </w:rPr>
        <w:t xml:space="preserve"> судових рішень</w:t>
      </w:r>
      <w:r w:rsidRPr="009E4EEF">
        <w:rPr>
          <w:rFonts w:ascii="Times New Roman" w:eastAsia="Times New Roman" w:hAnsi="Times New Roman" w:cs="Times New Roman"/>
          <w:color w:val="000000"/>
          <w:sz w:val="24"/>
          <w:szCs w:val="24"/>
          <w:lang w:eastAsia="uk-UA"/>
        </w:rPr>
        <w:t>.</w:t>
      </w:r>
    </w:p>
    <w:p w14:paraId="18359FD6" w14:textId="7F7FF833" w:rsidR="009F4687" w:rsidRPr="009E4EEF" w:rsidRDefault="009F4687" w:rsidP="009E4EEF">
      <w:pPr>
        <w:numPr>
          <w:ilvl w:val="1"/>
          <w:numId w:val="114"/>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Хоча кандидат вказує на </w:t>
      </w:r>
      <w:r w:rsidR="00437517"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системний аналіз практики ЄСПЛ</w:t>
      </w:r>
      <w:r w:rsidR="00437517"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на співбесіді він не зміг пояснити, як саме він </w:t>
      </w:r>
      <w:r w:rsidR="001613BA" w:rsidRPr="009E4EEF">
        <w:rPr>
          <w:rFonts w:ascii="Times New Roman" w:eastAsia="Times New Roman" w:hAnsi="Times New Roman" w:cs="Times New Roman"/>
          <w:color w:val="000000"/>
          <w:sz w:val="24"/>
          <w:szCs w:val="24"/>
          <w:lang w:eastAsia="uk-UA"/>
        </w:rPr>
        <w:t>аналізує</w:t>
      </w:r>
      <w:r w:rsidR="007B4C11" w:rsidRPr="009E4EEF">
        <w:rPr>
          <w:rFonts w:ascii="Times New Roman" w:eastAsia="Times New Roman" w:hAnsi="Times New Roman" w:cs="Times New Roman"/>
          <w:color w:val="000000"/>
          <w:sz w:val="24"/>
          <w:szCs w:val="24"/>
          <w:lang w:eastAsia="uk-UA"/>
        </w:rPr>
        <w:t xml:space="preserve"> цю практику</w:t>
      </w:r>
      <w:r w:rsidRPr="009E4EEF">
        <w:rPr>
          <w:rFonts w:ascii="Times New Roman" w:eastAsia="Times New Roman" w:hAnsi="Times New Roman" w:cs="Times New Roman"/>
          <w:color w:val="000000"/>
          <w:sz w:val="24"/>
          <w:szCs w:val="24"/>
          <w:lang w:eastAsia="uk-UA"/>
        </w:rPr>
        <w:t xml:space="preserve">, не навів прикладів тематичних узагальнень, а також не вказав конкретних справ, у яких би практика ЄСПЛ була ним врахована. Після уточнюючих запитань </w:t>
      </w:r>
      <w:r w:rsidR="007B4C11" w:rsidRPr="009E4EEF">
        <w:rPr>
          <w:rFonts w:ascii="Times New Roman" w:eastAsia="Times New Roman" w:hAnsi="Times New Roman" w:cs="Times New Roman"/>
          <w:color w:val="000000"/>
          <w:sz w:val="24"/>
          <w:szCs w:val="24"/>
          <w:lang w:eastAsia="uk-UA"/>
        </w:rPr>
        <w:t xml:space="preserve">він </w:t>
      </w:r>
      <w:r w:rsidRPr="009E4EEF">
        <w:rPr>
          <w:rFonts w:ascii="Times New Roman" w:eastAsia="Times New Roman" w:hAnsi="Times New Roman" w:cs="Times New Roman"/>
          <w:color w:val="000000"/>
          <w:sz w:val="24"/>
          <w:szCs w:val="24"/>
          <w:lang w:eastAsia="uk-UA"/>
        </w:rPr>
        <w:t xml:space="preserve">пояснив, що послуговується інформаційно-правовою системою «LIGA ZAKON» та </w:t>
      </w:r>
      <w:proofErr w:type="spellStart"/>
      <w:r w:rsidR="007B4C11" w:rsidRPr="009E4EEF">
        <w:rPr>
          <w:rFonts w:ascii="Times New Roman" w:eastAsia="Times New Roman" w:hAnsi="Times New Roman" w:cs="Times New Roman"/>
          <w:color w:val="000000"/>
          <w:sz w:val="24"/>
          <w:szCs w:val="24"/>
          <w:lang w:eastAsia="uk-UA"/>
        </w:rPr>
        <w:t>веб</w:t>
      </w:r>
      <w:r w:rsidRPr="009E4EEF">
        <w:rPr>
          <w:rFonts w:ascii="Times New Roman" w:eastAsia="Times New Roman" w:hAnsi="Times New Roman" w:cs="Times New Roman"/>
          <w:color w:val="000000"/>
          <w:sz w:val="24"/>
          <w:szCs w:val="24"/>
          <w:lang w:eastAsia="uk-UA"/>
        </w:rPr>
        <w:t>сайтом</w:t>
      </w:r>
      <w:proofErr w:type="spellEnd"/>
      <w:r w:rsidRPr="009E4EEF">
        <w:rPr>
          <w:rFonts w:ascii="Times New Roman" w:eastAsia="Times New Roman" w:hAnsi="Times New Roman" w:cs="Times New Roman"/>
          <w:color w:val="000000"/>
          <w:sz w:val="24"/>
          <w:szCs w:val="24"/>
          <w:lang w:eastAsia="uk-UA"/>
        </w:rPr>
        <w:t xml:space="preserve"> Верховної Ради</w:t>
      </w:r>
      <w:r w:rsidR="007B4C11" w:rsidRPr="009E4EEF">
        <w:rPr>
          <w:rFonts w:ascii="Times New Roman" w:eastAsia="Times New Roman" w:hAnsi="Times New Roman" w:cs="Times New Roman"/>
          <w:color w:val="000000"/>
          <w:sz w:val="24"/>
          <w:szCs w:val="24"/>
          <w:lang w:eastAsia="uk-UA"/>
        </w:rPr>
        <w:t xml:space="preserve"> України</w:t>
      </w:r>
      <w:r w:rsidRPr="009E4EEF">
        <w:rPr>
          <w:rFonts w:ascii="Times New Roman" w:eastAsia="Times New Roman" w:hAnsi="Times New Roman" w:cs="Times New Roman"/>
          <w:color w:val="000000"/>
          <w:sz w:val="24"/>
          <w:szCs w:val="24"/>
          <w:lang w:eastAsia="uk-UA"/>
        </w:rPr>
        <w:t>, проте плутався у відповідях та, на думку Комісії, не переконав Комісію у наявності навичок використання цих ресурсів.</w:t>
      </w:r>
    </w:p>
    <w:p w14:paraId="5C418D9D" w14:textId="54467538" w:rsidR="009F4687" w:rsidRPr="009E4EEF" w:rsidRDefault="009F4687" w:rsidP="009E4EEF">
      <w:pPr>
        <w:pStyle w:val="a4"/>
        <w:numPr>
          <w:ilvl w:val="0"/>
          <w:numId w:val="114"/>
        </w:numPr>
        <w:shd w:val="clear" w:color="auto" w:fill="FFFFFF"/>
        <w:ind w:left="0" w:firstLine="709"/>
        <w:jc w:val="both"/>
        <w:textAlignment w:val="baseline"/>
        <w:rPr>
          <w:color w:val="000000"/>
          <w:lang w:eastAsia="uk-UA"/>
        </w:rPr>
      </w:pPr>
      <w:r w:rsidRPr="009E4EEF">
        <w:rPr>
          <w:color w:val="000000"/>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9E4EEF">
        <w:rPr>
          <w:color w:val="000000"/>
          <w:lang w:eastAsia="uk-UA"/>
        </w:rPr>
        <w:t>бала</w:t>
      </w:r>
      <w:proofErr w:type="spellEnd"/>
      <w:r w:rsidRPr="009E4EEF">
        <w:rPr>
          <w:color w:val="000000"/>
          <w:lang w:eastAsia="uk-UA"/>
        </w:rPr>
        <w:t xml:space="preserve">. </w:t>
      </w:r>
      <w:r w:rsidR="0091264A" w:rsidRPr="009E4EEF">
        <w:rPr>
          <w:color w:val="000000"/>
          <w:lang w:eastAsia="uk-UA"/>
        </w:rPr>
        <w:t>При</w:t>
      </w:r>
      <w:r w:rsidRPr="009E4EEF">
        <w:rPr>
          <w:color w:val="000000"/>
          <w:lang w:eastAsia="uk-UA"/>
        </w:rPr>
        <w:t xml:space="preserve"> оцінюванн</w:t>
      </w:r>
      <w:r w:rsidR="0091264A" w:rsidRPr="009E4EEF">
        <w:rPr>
          <w:color w:val="000000"/>
          <w:lang w:eastAsia="uk-UA"/>
        </w:rPr>
        <w:t>і</w:t>
      </w:r>
      <w:r w:rsidRPr="009E4EEF">
        <w:rPr>
          <w:color w:val="000000"/>
          <w:lang w:eastAsia="uk-UA"/>
        </w:rPr>
        <w:t xml:space="preserve"> критеріїв (показників) особистої та соціальної компетентності на етапі «Дослідження досьє та проведення співбесіди» Комісією у складі </w:t>
      </w:r>
      <w:r w:rsidRPr="009E4EEF">
        <w:rPr>
          <w:color w:val="000000"/>
          <w:lang w:eastAsia="uk-UA"/>
        </w:rPr>
        <w:lastRenderedPageBreak/>
        <w:t xml:space="preserve">палати обчислення середнього арифметичного </w:t>
      </w:r>
      <w:proofErr w:type="spellStart"/>
      <w:r w:rsidRPr="009E4EEF">
        <w:rPr>
          <w:color w:val="000000"/>
          <w:lang w:eastAsia="uk-UA"/>
        </w:rPr>
        <w:t>бала</w:t>
      </w:r>
      <w:proofErr w:type="spellEnd"/>
      <w:r w:rsidRPr="009E4EEF">
        <w:rPr>
          <w:color w:val="000000"/>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9E294B4" w14:textId="06D0509C" w:rsidR="009F4687" w:rsidRPr="009E4EEF" w:rsidRDefault="009F4687" w:rsidP="009E4EEF">
      <w:pPr>
        <w:numPr>
          <w:ilvl w:val="0"/>
          <w:numId w:val="114"/>
        </w:numPr>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Надані кандидатом документи, а також відповіді під час послідовного обговорення показників особистої компетентності </w:t>
      </w:r>
      <w:r w:rsidR="00D43F20" w:rsidRPr="009E4EEF">
        <w:rPr>
          <w:rFonts w:ascii="Times New Roman" w:eastAsia="Times New Roman" w:hAnsi="Times New Roman" w:cs="Times New Roman"/>
          <w:color w:val="000000"/>
          <w:sz w:val="24"/>
          <w:szCs w:val="24"/>
          <w:lang w:eastAsia="uk-UA"/>
        </w:rPr>
        <w:t>на</w:t>
      </w:r>
      <w:r w:rsidRPr="009E4EEF">
        <w:rPr>
          <w:rFonts w:ascii="Times New Roman" w:eastAsia="Times New Roman" w:hAnsi="Times New Roman" w:cs="Times New Roman"/>
          <w:color w:val="000000"/>
          <w:sz w:val="24"/>
          <w:szCs w:val="24"/>
          <w:lang w:eastAsia="uk-UA"/>
        </w:rPr>
        <w:t xml:space="preserve"> співбесід</w:t>
      </w:r>
      <w:r w:rsidR="00D43F20" w:rsidRPr="009E4EEF">
        <w:rPr>
          <w:rFonts w:ascii="Times New Roman" w:eastAsia="Times New Roman" w:hAnsi="Times New Roman" w:cs="Times New Roman"/>
          <w:color w:val="000000"/>
          <w:sz w:val="24"/>
          <w:szCs w:val="24"/>
          <w:lang w:eastAsia="uk-UA"/>
        </w:rPr>
        <w:t>і</w:t>
      </w:r>
      <w:r w:rsidRPr="009E4EEF">
        <w:rPr>
          <w:rFonts w:ascii="Times New Roman" w:eastAsia="Times New Roman" w:hAnsi="Times New Roman" w:cs="Times New Roman"/>
          <w:color w:val="000000"/>
          <w:sz w:val="24"/>
          <w:szCs w:val="24"/>
          <w:lang w:eastAsia="uk-UA"/>
        </w:rPr>
        <w:t xml:space="preserve"> індивідуально оцінено членами Комісії таким чином: </w:t>
      </w:r>
    </w:p>
    <w:p w14:paraId="00B13157" w14:textId="77777777" w:rsidR="006055AF" w:rsidRPr="009E4EEF" w:rsidRDefault="006055AF" w:rsidP="009E4EEF">
      <w:pPr>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43BAAE04" w14:textId="77777777" w:rsidR="00AC191D" w:rsidRPr="009E4EEF" w:rsidRDefault="00AC191D" w:rsidP="009E4EEF">
      <w:pPr>
        <w:spacing w:after="0" w:line="240" w:lineRule="auto"/>
        <w:jc w:val="both"/>
        <w:rPr>
          <w:rFonts w:ascii="Times New Roman" w:hAnsi="Times New Roman" w:cs="Times New Roman"/>
          <w:sz w:val="24"/>
          <w:szCs w:val="24"/>
        </w:rPr>
      </w:pPr>
    </w:p>
    <w:tbl>
      <w:tblPr>
        <w:tblW w:w="5100" w:type="pct"/>
        <w:tblCellMar>
          <w:left w:w="0" w:type="dxa"/>
          <w:right w:w="0" w:type="dxa"/>
        </w:tblCellMar>
        <w:tblLook w:val="04A0" w:firstRow="1" w:lastRow="0" w:firstColumn="1" w:lastColumn="0" w:noHBand="0" w:noVBand="1"/>
      </w:tblPr>
      <w:tblGrid>
        <w:gridCol w:w="1675"/>
        <w:gridCol w:w="2669"/>
        <w:gridCol w:w="533"/>
        <w:gridCol w:w="503"/>
        <w:gridCol w:w="445"/>
        <w:gridCol w:w="447"/>
        <w:gridCol w:w="447"/>
        <w:gridCol w:w="451"/>
        <w:gridCol w:w="1510"/>
        <w:gridCol w:w="1075"/>
        <w:gridCol w:w="29"/>
      </w:tblGrid>
      <w:tr w:rsidR="00AC191D" w:rsidRPr="009E4EEF" w14:paraId="11D196D8" w14:textId="77777777" w:rsidTr="00625380">
        <w:trPr>
          <w:gridAfter w:val="1"/>
          <w:wAfter w:w="15" w:type="pct"/>
          <w:trHeight w:val="315"/>
        </w:trPr>
        <w:tc>
          <w:tcPr>
            <w:tcW w:w="791"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BB2A11F"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Критерій</w:t>
            </w:r>
          </w:p>
        </w:tc>
        <w:tc>
          <w:tcPr>
            <w:tcW w:w="137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EDC2204"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Показник</w:t>
            </w:r>
          </w:p>
        </w:tc>
        <w:tc>
          <w:tcPr>
            <w:tcW w:w="1513"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1E11C1C1" w14:textId="37E33BBC"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Бали</w:t>
            </w:r>
            <w:r w:rsidR="00D43F20" w:rsidRPr="009E4EEF">
              <w:rPr>
                <w:rFonts w:ascii="Times New Roman" w:hAnsi="Times New Roman" w:cs="Times New Roman"/>
                <w:sz w:val="24"/>
                <w:szCs w:val="24"/>
              </w:rPr>
              <w:t>,</w:t>
            </w:r>
            <w:r w:rsidRPr="009E4EEF">
              <w:rPr>
                <w:rFonts w:ascii="Times New Roman" w:hAnsi="Times New Roman" w:cs="Times New Roman"/>
                <w:sz w:val="24"/>
                <w:szCs w:val="24"/>
              </w:rPr>
              <w:t xml:space="preserve"> виставлені членами Комісії за показниками</w:t>
            </w:r>
          </w:p>
        </w:tc>
        <w:tc>
          <w:tcPr>
            <w:tcW w:w="744"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2A42DBD6"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Розрахований за п. 5.7. середній бал</w:t>
            </w:r>
          </w:p>
        </w:tc>
        <w:tc>
          <w:tcPr>
            <w:tcW w:w="56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1F86899"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Бал за критерій</w:t>
            </w:r>
          </w:p>
        </w:tc>
      </w:tr>
      <w:tr w:rsidR="00AC191D" w:rsidRPr="009E4EEF" w14:paraId="286384AE" w14:textId="77777777" w:rsidTr="00625380">
        <w:trPr>
          <w:gridAfter w:val="1"/>
          <w:wAfter w:w="15" w:type="pct"/>
          <w:trHeight w:val="476"/>
        </w:trPr>
        <w:tc>
          <w:tcPr>
            <w:tcW w:w="791"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094871B" w14:textId="77777777" w:rsidR="00AC191D" w:rsidRPr="009E4EEF" w:rsidRDefault="00AC191D" w:rsidP="009E4EEF">
            <w:pPr>
              <w:spacing w:after="0" w:line="240" w:lineRule="auto"/>
              <w:rPr>
                <w:rFonts w:ascii="Times New Roman" w:hAnsi="Times New Roman" w:cs="Times New Roman"/>
                <w:sz w:val="24"/>
                <w:szCs w:val="24"/>
              </w:rPr>
            </w:pPr>
            <w:r w:rsidRPr="009E4EEF">
              <w:rPr>
                <w:rFonts w:ascii="Times New Roman" w:hAnsi="Times New Roman" w:cs="Times New Roman"/>
                <w:sz w:val="24"/>
                <w:szCs w:val="24"/>
              </w:rPr>
              <w:t>особиста компетентність</w:t>
            </w:r>
          </w:p>
        </w:tc>
        <w:tc>
          <w:tcPr>
            <w:tcW w:w="13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D0FD7D9"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рішучість</w:t>
            </w:r>
          </w:p>
        </w:tc>
        <w:tc>
          <w:tcPr>
            <w:tcW w:w="28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D86CC8" w14:textId="77777777" w:rsidR="00AC191D" w:rsidRPr="009E4EEF" w:rsidRDefault="00AC191D" w:rsidP="009E4EEF">
            <w:pPr>
              <w:spacing w:after="0" w:line="240" w:lineRule="auto"/>
              <w:jc w:val="center"/>
              <w:rPr>
                <w:rFonts w:ascii="Times New Roman" w:hAnsi="Times New Roman" w:cs="Times New Roman"/>
                <w:sz w:val="24"/>
                <w:szCs w:val="24"/>
              </w:rPr>
            </w:pPr>
          </w:p>
        </w:tc>
        <w:tc>
          <w:tcPr>
            <w:tcW w:w="26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D22366"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17</w:t>
            </w:r>
          </w:p>
        </w:tc>
        <w:tc>
          <w:tcPr>
            <w:tcW w:w="23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A4EBE1"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17</w:t>
            </w:r>
          </w:p>
        </w:tc>
        <w:tc>
          <w:tcPr>
            <w:tcW w:w="24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9F9D8D3"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16</w:t>
            </w:r>
          </w:p>
        </w:tc>
        <w:tc>
          <w:tcPr>
            <w:tcW w:w="24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FF86F"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8</w:t>
            </w:r>
          </w:p>
        </w:tc>
        <w:tc>
          <w:tcPr>
            <w:tcW w:w="24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6EA95BC"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18</w:t>
            </w:r>
          </w:p>
        </w:tc>
        <w:tc>
          <w:tcPr>
            <w:tcW w:w="74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07F3E38"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16,67</w:t>
            </w:r>
          </w:p>
        </w:tc>
        <w:tc>
          <w:tcPr>
            <w:tcW w:w="56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2938E"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30,33</w:t>
            </w:r>
          </w:p>
        </w:tc>
      </w:tr>
      <w:tr w:rsidR="00AC191D" w:rsidRPr="009E4EEF" w14:paraId="41A36384"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0CE5E13E" w14:textId="77777777" w:rsidR="00AC191D" w:rsidRPr="009E4EEF" w:rsidRDefault="00AC191D" w:rsidP="009E4EEF">
            <w:pPr>
              <w:spacing w:after="0" w:line="240" w:lineRule="auto"/>
              <w:rPr>
                <w:rFonts w:ascii="Times New Roman" w:hAnsi="Times New Roman" w:cs="Times New Roman"/>
                <w:sz w:val="24"/>
                <w:szCs w:val="24"/>
              </w:rPr>
            </w:pPr>
          </w:p>
        </w:tc>
        <w:tc>
          <w:tcPr>
            <w:tcW w:w="1376" w:type="pct"/>
            <w:vMerge/>
            <w:tcBorders>
              <w:top w:val="single" w:sz="18" w:space="0" w:color="000000"/>
              <w:left w:val="single" w:sz="6" w:space="0" w:color="CCCCCC"/>
              <w:bottom w:val="single" w:sz="6" w:space="0" w:color="000000"/>
              <w:right w:val="single" w:sz="6" w:space="0" w:color="000000"/>
            </w:tcBorders>
            <w:vAlign w:val="center"/>
            <w:hideMark/>
          </w:tcPr>
          <w:p w14:paraId="69FEB112" w14:textId="77777777" w:rsidR="00AC191D" w:rsidRPr="009E4EEF" w:rsidRDefault="00AC191D" w:rsidP="009E4EEF">
            <w:pPr>
              <w:spacing w:after="0" w:line="240" w:lineRule="auto"/>
              <w:rPr>
                <w:rFonts w:ascii="Times New Roman" w:hAnsi="Times New Roman" w:cs="Times New Roman"/>
                <w:sz w:val="24"/>
                <w:szCs w:val="24"/>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6ADBE1CE" w14:textId="77777777" w:rsidR="00AC191D" w:rsidRPr="009E4EEF" w:rsidRDefault="00AC191D" w:rsidP="009E4EEF">
            <w:pPr>
              <w:spacing w:after="0" w:line="240" w:lineRule="auto"/>
              <w:rPr>
                <w:rFonts w:ascii="Times New Roman" w:hAnsi="Times New Roman" w:cs="Times New Roman"/>
                <w:sz w:val="24"/>
                <w:szCs w:val="24"/>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10729154" w14:textId="77777777" w:rsidR="00AC191D" w:rsidRPr="009E4EEF" w:rsidRDefault="00AC191D" w:rsidP="009E4EEF">
            <w:pPr>
              <w:spacing w:after="0" w:line="240" w:lineRule="auto"/>
              <w:rPr>
                <w:rFonts w:ascii="Times New Roman" w:hAnsi="Times New Roman" w:cs="Times New Roman"/>
                <w:sz w:val="24"/>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14:paraId="163DEFCD"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61254C5C"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6EEF4ACC" w14:textId="77777777" w:rsidR="00AC191D" w:rsidRPr="009E4EEF" w:rsidRDefault="00AC191D" w:rsidP="009E4EEF">
            <w:pPr>
              <w:spacing w:after="0" w:line="240" w:lineRule="auto"/>
              <w:rPr>
                <w:rFonts w:ascii="Times New Roman" w:hAnsi="Times New Roman" w:cs="Times New Roman"/>
                <w:sz w:val="24"/>
                <w:szCs w:val="24"/>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6D156B18" w14:textId="77777777" w:rsidR="00AC191D" w:rsidRPr="009E4EEF" w:rsidRDefault="00AC191D" w:rsidP="009E4EEF">
            <w:pPr>
              <w:spacing w:after="0" w:line="240" w:lineRule="auto"/>
              <w:rPr>
                <w:rFonts w:ascii="Times New Roman" w:hAnsi="Times New Roman" w:cs="Times New Roman"/>
                <w:sz w:val="24"/>
                <w:szCs w:val="24"/>
              </w:rPr>
            </w:pPr>
          </w:p>
        </w:tc>
        <w:tc>
          <w:tcPr>
            <w:tcW w:w="744" w:type="pct"/>
            <w:vMerge/>
            <w:tcBorders>
              <w:top w:val="single" w:sz="18" w:space="0" w:color="000000"/>
              <w:left w:val="single" w:sz="6" w:space="0" w:color="CCCCCC"/>
              <w:bottom w:val="single" w:sz="6" w:space="0" w:color="000000"/>
              <w:right w:val="single" w:sz="6" w:space="0" w:color="000000"/>
            </w:tcBorders>
            <w:vAlign w:val="center"/>
            <w:hideMark/>
          </w:tcPr>
          <w:p w14:paraId="69BA62A4" w14:textId="77777777" w:rsidR="00AC191D" w:rsidRPr="009E4EEF" w:rsidRDefault="00AC191D" w:rsidP="009E4EEF">
            <w:pPr>
              <w:spacing w:after="0" w:line="240" w:lineRule="auto"/>
              <w:rPr>
                <w:rFonts w:ascii="Times New Roman" w:hAnsi="Times New Roman" w:cs="Times New Roman"/>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2E670F36" w14:textId="77777777" w:rsidR="00AC191D" w:rsidRPr="009E4EEF" w:rsidRDefault="00AC191D" w:rsidP="009E4EEF">
            <w:pPr>
              <w:spacing w:after="0" w:line="240" w:lineRule="auto"/>
              <w:rPr>
                <w:rFonts w:ascii="Times New Roman" w:hAnsi="Times New Roman" w:cs="Times New Roman"/>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42BF5818" w14:textId="77777777" w:rsidR="00AC191D" w:rsidRPr="009E4EEF" w:rsidRDefault="00AC191D" w:rsidP="009E4EEF">
            <w:pPr>
              <w:spacing w:after="0" w:line="240" w:lineRule="auto"/>
              <w:jc w:val="center"/>
              <w:rPr>
                <w:rFonts w:ascii="Times New Roman" w:hAnsi="Times New Roman" w:cs="Times New Roman"/>
                <w:sz w:val="24"/>
                <w:szCs w:val="24"/>
              </w:rPr>
            </w:pPr>
          </w:p>
        </w:tc>
      </w:tr>
      <w:tr w:rsidR="00AC191D" w:rsidRPr="009E4EEF" w14:paraId="6F7BFF16"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342D8DC7" w14:textId="77777777" w:rsidR="00AC191D" w:rsidRPr="009E4EEF" w:rsidRDefault="00AC191D" w:rsidP="009E4EEF">
            <w:pPr>
              <w:spacing w:after="0" w:line="240" w:lineRule="auto"/>
              <w:rPr>
                <w:rFonts w:ascii="Times New Roman" w:hAnsi="Times New Roman" w:cs="Times New Roman"/>
                <w:sz w:val="24"/>
                <w:szCs w:val="24"/>
              </w:rPr>
            </w:pPr>
          </w:p>
        </w:tc>
        <w:tc>
          <w:tcPr>
            <w:tcW w:w="1376" w:type="pct"/>
            <w:vMerge/>
            <w:tcBorders>
              <w:top w:val="single" w:sz="18" w:space="0" w:color="000000"/>
              <w:left w:val="single" w:sz="6" w:space="0" w:color="CCCCCC"/>
              <w:bottom w:val="single" w:sz="6" w:space="0" w:color="000000"/>
              <w:right w:val="single" w:sz="6" w:space="0" w:color="000000"/>
            </w:tcBorders>
            <w:vAlign w:val="center"/>
            <w:hideMark/>
          </w:tcPr>
          <w:p w14:paraId="52A4E86E" w14:textId="77777777" w:rsidR="00AC191D" w:rsidRPr="009E4EEF" w:rsidRDefault="00AC191D" w:rsidP="009E4EEF">
            <w:pPr>
              <w:spacing w:after="0" w:line="240" w:lineRule="auto"/>
              <w:rPr>
                <w:rFonts w:ascii="Times New Roman" w:hAnsi="Times New Roman" w:cs="Times New Roman"/>
                <w:sz w:val="24"/>
                <w:szCs w:val="24"/>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1B759556" w14:textId="77777777" w:rsidR="00AC191D" w:rsidRPr="009E4EEF" w:rsidRDefault="00AC191D" w:rsidP="009E4EEF">
            <w:pPr>
              <w:spacing w:after="0" w:line="240" w:lineRule="auto"/>
              <w:rPr>
                <w:rFonts w:ascii="Times New Roman" w:hAnsi="Times New Roman" w:cs="Times New Roman"/>
                <w:sz w:val="24"/>
                <w:szCs w:val="24"/>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8EEC1C3" w14:textId="77777777" w:rsidR="00AC191D" w:rsidRPr="009E4EEF" w:rsidRDefault="00AC191D" w:rsidP="009E4EEF">
            <w:pPr>
              <w:spacing w:after="0" w:line="240" w:lineRule="auto"/>
              <w:rPr>
                <w:rFonts w:ascii="Times New Roman" w:hAnsi="Times New Roman" w:cs="Times New Roman"/>
                <w:sz w:val="24"/>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14:paraId="4A8C0E30"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7A0911B0"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48F88D5D" w14:textId="77777777" w:rsidR="00AC191D" w:rsidRPr="009E4EEF" w:rsidRDefault="00AC191D" w:rsidP="009E4EEF">
            <w:pPr>
              <w:spacing w:after="0" w:line="240" w:lineRule="auto"/>
              <w:rPr>
                <w:rFonts w:ascii="Times New Roman" w:hAnsi="Times New Roman" w:cs="Times New Roman"/>
                <w:sz w:val="24"/>
                <w:szCs w:val="24"/>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02540F84" w14:textId="77777777" w:rsidR="00AC191D" w:rsidRPr="009E4EEF" w:rsidRDefault="00AC191D" w:rsidP="009E4EEF">
            <w:pPr>
              <w:spacing w:after="0" w:line="240" w:lineRule="auto"/>
              <w:rPr>
                <w:rFonts w:ascii="Times New Roman" w:hAnsi="Times New Roman" w:cs="Times New Roman"/>
                <w:sz w:val="24"/>
                <w:szCs w:val="24"/>
              </w:rPr>
            </w:pPr>
          </w:p>
        </w:tc>
        <w:tc>
          <w:tcPr>
            <w:tcW w:w="744" w:type="pct"/>
            <w:vMerge/>
            <w:tcBorders>
              <w:top w:val="single" w:sz="18" w:space="0" w:color="000000"/>
              <w:left w:val="single" w:sz="6" w:space="0" w:color="CCCCCC"/>
              <w:bottom w:val="single" w:sz="6" w:space="0" w:color="000000"/>
              <w:right w:val="single" w:sz="6" w:space="0" w:color="000000"/>
            </w:tcBorders>
            <w:vAlign w:val="center"/>
            <w:hideMark/>
          </w:tcPr>
          <w:p w14:paraId="6DE3EF8D" w14:textId="77777777" w:rsidR="00AC191D" w:rsidRPr="009E4EEF" w:rsidRDefault="00AC191D" w:rsidP="009E4EEF">
            <w:pPr>
              <w:spacing w:after="0" w:line="240" w:lineRule="auto"/>
              <w:rPr>
                <w:rFonts w:ascii="Times New Roman" w:hAnsi="Times New Roman" w:cs="Times New Roman"/>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5C69E1B2" w14:textId="77777777" w:rsidR="00AC191D" w:rsidRPr="009E4EEF" w:rsidRDefault="00AC191D" w:rsidP="009E4EEF">
            <w:pPr>
              <w:spacing w:after="0" w:line="240" w:lineRule="auto"/>
              <w:rPr>
                <w:rFonts w:ascii="Times New Roman" w:hAnsi="Times New Roman" w:cs="Times New Roman"/>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504429A" w14:textId="77777777" w:rsidR="00AC191D" w:rsidRPr="009E4EEF" w:rsidRDefault="00AC191D" w:rsidP="009E4EEF">
            <w:pPr>
              <w:spacing w:after="0" w:line="240" w:lineRule="auto"/>
              <w:rPr>
                <w:rFonts w:ascii="Times New Roman" w:hAnsi="Times New Roman" w:cs="Times New Roman"/>
                <w:sz w:val="24"/>
                <w:szCs w:val="24"/>
              </w:rPr>
            </w:pPr>
          </w:p>
        </w:tc>
      </w:tr>
      <w:tr w:rsidR="00AC191D" w:rsidRPr="009E4EEF" w14:paraId="31F6E121"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02F5D37A" w14:textId="77777777" w:rsidR="00AC191D" w:rsidRPr="009E4EEF" w:rsidRDefault="00AC191D" w:rsidP="009E4EEF">
            <w:pPr>
              <w:spacing w:after="0" w:line="240" w:lineRule="auto"/>
              <w:rPr>
                <w:rFonts w:ascii="Times New Roman" w:hAnsi="Times New Roman" w:cs="Times New Roman"/>
                <w:sz w:val="24"/>
                <w:szCs w:val="24"/>
              </w:rPr>
            </w:pPr>
          </w:p>
        </w:tc>
        <w:tc>
          <w:tcPr>
            <w:tcW w:w="13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BBE92C3"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відповідальність</w:t>
            </w: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49111976" w14:textId="77777777" w:rsidR="00AC191D" w:rsidRPr="009E4EEF" w:rsidRDefault="00AC191D" w:rsidP="009E4EEF">
            <w:pPr>
              <w:spacing w:after="0" w:line="240" w:lineRule="auto"/>
              <w:rPr>
                <w:rFonts w:ascii="Times New Roman" w:hAnsi="Times New Roman" w:cs="Times New Roman"/>
                <w:sz w:val="24"/>
                <w:szCs w:val="24"/>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300A8D73" w14:textId="77777777" w:rsidR="00AC191D" w:rsidRPr="009E4EEF" w:rsidRDefault="00AC191D" w:rsidP="009E4EEF">
            <w:pPr>
              <w:spacing w:after="0" w:line="240" w:lineRule="auto"/>
              <w:rPr>
                <w:rFonts w:ascii="Times New Roman" w:hAnsi="Times New Roman" w:cs="Times New Roman"/>
                <w:sz w:val="24"/>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14:paraId="1FE1367E"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1DF43EB7"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3E16BC23" w14:textId="77777777" w:rsidR="00AC191D" w:rsidRPr="009E4EEF" w:rsidRDefault="00AC191D" w:rsidP="009E4EEF">
            <w:pPr>
              <w:spacing w:after="0" w:line="240" w:lineRule="auto"/>
              <w:rPr>
                <w:rFonts w:ascii="Times New Roman" w:hAnsi="Times New Roman" w:cs="Times New Roman"/>
                <w:sz w:val="24"/>
                <w:szCs w:val="24"/>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093C5366" w14:textId="77777777" w:rsidR="00AC191D" w:rsidRPr="009E4EEF" w:rsidRDefault="00AC191D" w:rsidP="009E4EEF">
            <w:pPr>
              <w:spacing w:after="0" w:line="240" w:lineRule="auto"/>
              <w:rPr>
                <w:rFonts w:ascii="Times New Roman" w:hAnsi="Times New Roman" w:cs="Times New Roman"/>
                <w:sz w:val="24"/>
                <w:szCs w:val="24"/>
              </w:rPr>
            </w:pPr>
          </w:p>
        </w:tc>
        <w:tc>
          <w:tcPr>
            <w:tcW w:w="744" w:type="pct"/>
            <w:vMerge/>
            <w:tcBorders>
              <w:top w:val="single" w:sz="18" w:space="0" w:color="000000"/>
              <w:left w:val="single" w:sz="6" w:space="0" w:color="CCCCCC"/>
              <w:bottom w:val="single" w:sz="6" w:space="0" w:color="000000"/>
              <w:right w:val="single" w:sz="6" w:space="0" w:color="000000"/>
            </w:tcBorders>
            <w:vAlign w:val="center"/>
            <w:hideMark/>
          </w:tcPr>
          <w:p w14:paraId="6A582ADF" w14:textId="77777777" w:rsidR="00AC191D" w:rsidRPr="009E4EEF" w:rsidRDefault="00AC191D" w:rsidP="009E4EEF">
            <w:pPr>
              <w:spacing w:after="0" w:line="240" w:lineRule="auto"/>
              <w:rPr>
                <w:rFonts w:ascii="Times New Roman" w:hAnsi="Times New Roman" w:cs="Times New Roman"/>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53719D67" w14:textId="77777777" w:rsidR="00AC191D" w:rsidRPr="009E4EEF" w:rsidRDefault="00AC191D" w:rsidP="009E4EEF">
            <w:pPr>
              <w:spacing w:after="0" w:line="240" w:lineRule="auto"/>
              <w:rPr>
                <w:rFonts w:ascii="Times New Roman" w:hAnsi="Times New Roman" w:cs="Times New Roman"/>
                <w:sz w:val="24"/>
                <w:szCs w:val="24"/>
              </w:rPr>
            </w:pPr>
          </w:p>
        </w:tc>
        <w:tc>
          <w:tcPr>
            <w:tcW w:w="15" w:type="pct"/>
            <w:vAlign w:val="center"/>
            <w:hideMark/>
          </w:tcPr>
          <w:p w14:paraId="48B063F1" w14:textId="77777777" w:rsidR="00AC191D" w:rsidRPr="009E4EEF" w:rsidRDefault="00AC191D" w:rsidP="009E4EEF">
            <w:pPr>
              <w:spacing w:after="0" w:line="240" w:lineRule="auto"/>
              <w:rPr>
                <w:rFonts w:ascii="Times New Roman" w:hAnsi="Times New Roman" w:cs="Times New Roman"/>
                <w:sz w:val="24"/>
                <w:szCs w:val="24"/>
              </w:rPr>
            </w:pPr>
          </w:p>
        </w:tc>
      </w:tr>
      <w:tr w:rsidR="00AC191D" w:rsidRPr="009E4EEF" w14:paraId="1CE776B9"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67277AE3" w14:textId="77777777" w:rsidR="00AC191D" w:rsidRPr="009E4EEF" w:rsidRDefault="00AC191D" w:rsidP="009E4EEF">
            <w:pPr>
              <w:spacing w:after="0" w:line="240" w:lineRule="auto"/>
              <w:rPr>
                <w:rFonts w:ascii="Times New Roman" w:hAnsi="Times New Roman" w:cs="Times New Roman"/>
                <w:sz w:val="24"/>
                <w:szCs w:val="24"/>
              </w:rPr>
            </w:pPr>
          </w:p>
        </w:tc>
        <w:tc>
          <w:tcPr>
            <w:tcW w:w="1376" w:type="pct"/>
            <w:vMerge/>
            <w:tcBorders>
              <w:top w:val="single" w:sz="6" w:space="0" w:color="CCCCCC"/>
              <w:left w:val="single" w:sz="6" w:space="0" w:color="CCCCCC"/>
              <w:bottom w:val="single" w:sz="6" w:space="0" w:color="000000"/>
              <w:right w:val="single" w:sz="6" w:space="0" w:color="000000"/>
            </w:tcBorders>
            <w:vAlign w:val="center"/>
            <w:hideMark/>
          </w:tcPr>
          <w:p w14:paraId="70A256BD" w14:textId="77777777" w:rsidR="00AC191D" w:rsidRPr="009E4EEF" w:rsidRDefault="00AC191D" w:rsidP="009E4EEF">
            <w:pPr>
              <w:spacing w:after="0" w:line="240" w:lineRule="auto"/>
              <w:rPr>
                <w:rFonts w:ascii="Times New Roman" w:hAnsi="Times New Roman" w:cs="Times New Roman"/>
                <w:sz w:val="24"/>
                <w:szCs w:val="24"/>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1EE68FAA" w14:textId="77777777" w:rsidR="00AC191D" w:rsidRPr="009E4EEF" w:rsidRDefault="00AC191D" w:rsidP="009E4EEF">
            <w:pPr>
              <w:spacing w:after="0" w:line="240" w:lineRule="auto"/>
              <w:rPr>
                <w:rFonts w:ascii="Times New Roman" w:hAnsi="Times New Roman" w:cs="Times New Roman"/>
                <w:sz w:val="24"/>
                <w:szCs w:val="24"/>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E22421B" w14:textId="77777777" w:rsidR="00AC191D" w:rsidRPr="009E4EEF" w:rsidRDefault="00AC191D" w:rsidP="009E4EEF">
            <w:pPr>
              <w:spacing w:after="0" w:line="240" w:lineRule="auto"/>
              <w:rPr>
                <w:rFonts w:ascii="Times New Roman" w:hAnsi="Times New Roman" w:cs="Times New Roman"/>
                <w:sz w:val="24"/>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14:paraId="534EB503"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0D831E91"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7A38586B" w14:textId="77777777" w:rsidR="00AC191D" w:rsidRPr="009E4EEF" w:rsidRDefault="00AC191D" w:rsidP="009E4EEF">
            <w:pPr>
              <w:spacing w:after="0" w:line="240" w:lineRule="auto"/>
              <w:rPr>
                <w:rFonts w:ascii="Times New Roman" w:hAnsi="Times New Roman" w:cs="Times New Roman"/>
                <w:sz w:val="24"/>
                <w:szCs w:val="24"/>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5EA50677" w14:textId="77777777" w:rsidR="00AC191D" w:rsidRPr="009E4EEF" w:rsidRDefault="00AC191D" w:rsidP="009E4EEF">
            <w:pPr>
              <w:spacing w:after="0" w:line="240" w:lineRule="auto"/>
              <w:rPr>
                <w:rFonts w:ascii="Times New Roman" w:hAnsi="Times New Roman" w:cs="Times New Roman"/>
                <w:sz w:val="24"/>
                <w:szCs w:val="24"/>
              </w:rPr>
            </w:pPr>
          </w:p>
        </w:tc>
        <w:tc>
          <w:tcPr>
            <w:tcW w:w="744" w:type="pct"/>
            <w:vMerge/>
            <w:tcBorders>
              <w:top w:val="single" w:sz="18" w:space="0" w:color="000000"/>
              <w:left w:val="single" w:sz="6" w:space="0" w:color="CCCCCC"/>
              <w:bottom w:val="single" w:sz="6" w:space="0" w:color="000000"/>
              <w:right w:val="single" w:sz="6" w:space="0" w:color="000000"/>
            </w:tcBorders>
            <w:vAlign w:val="center"/>
            <w:hideMark/>
          </w:tcPr>
          <w:p w14:paraId="7BF5FE56" w14:textId="77777777" w:rsidR="00AC191D" w:rsidRPr="009E4EEF" w:rsidRDefault="00AC191D" w:rsidP="009E4EEF">
            <w:pPr>
              <w:spacing w:after="0" w:line="240" w:lineRule="auto"/>
              <w:rPr>
                <w:rFonts w:ascii="Times New Roman" w:hAnsi="Times New Roman" w:cs="Times New Roman"/>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272B13CB" w14:textId="77777777" w:rsidR="00AC191D" w:rsidRPr="009E4EEF" w:rsidRDefault="00AC191D" w:rsidP="009E4EEF">
            <w:pPr>
              <w:spacing w:after="0" w:line="240" w:lineRule="auto"/>
              <w:rPr>
                <w:rFonts w:ascii="Times New Roman" w:hAnsi="Times New Roman" w:cs="Times New Roman"/>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AA3119D" w14:textId="77777777" w:rsidR="00AC191D" w:rsidRPr="009E4EEF" w:rsidRDefault="00AC191D" w:rsidP="009E4EEF">
            <w:pPr>
              <w:spacing w:after="0" w:line="240" w:lineRule="auto"/>
              <w:jc w:val="center"/>
              <w:rPr>
                <w:rFonts w:ascii="Times New Roman" w:hAnsi="Times New Roman" w:cs="Times New Roman"/>
                <w:sz w:val="24"/>
                <w:szCs w:val="24"/>
              </w:rPr>
            </w:pPr>
          </w:p>
        </w:tc>
      </w:tr>
      <w:tr w:rsidR="00AC191D" w:rsidRPr="009E4EEF" w14:paraId="34A788E2"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76C26401" w14:textId="77777777" w:rsidR="00AC191D" w:rsidRPr="009E4EEF" w:rsidRDefault="00AC191D" w:rsidP="009E4EEF">
            <w:pPr>
              <w:spacing w:after="0" w:line="240" w:lineRule="auto"/>
              <w:rPr>
                <w:rFonts w:ascii="Times New Roman" w:hAnsi="Times New Roman" w:cs="Times New Roman"/>
                <w:sz w:val="24"/>
                <w:szCs w:val="24"/>
              </w:rPr>
            </w:pPr>
          </w:p>
        </w:tc>
        <w:tc>
          <w:tcPr>
            <w:tcW w:w="1376" w:type="pct"/>
            <w:vMerge/>
            <w:tcBorders>
              <w:top w:val="single" w:sz="6" w:space="0" w:color="CCCCCC"/>
              <w:left w:val="single" w:sz="6" w:space="0" w:color="CCCCCC"/>
              <w:bottom w:val="single" w:sz="6" w:space="0" w:color="000000"/>
              <w:right w:val="single" w:sz="6" w:space="0" w:color="000000"/>
            </w:tcBorders>
            <w:vAlign w:val="center"/>
            <w:hideMark/>
          </w:tcPr>
          <w:p w14:paraId="1A838189" w14:textId="77777777" w:rsidR="00AC191D" w:rsidRPr="009E4EEF" w:rsidRDefault="00AC191D" w:rsidP="009E4EEF">
            <w:pPr>
              <w:spacing w:after="0" w:line="240" w:lineRule="auto"/>
              <w:rPr>
                <w:rFonts w:ascii="Times New Roman" w:hAnsi="Times New Roman" w:cs="Times New Roman"/>
                <w:sz w:val="24"/>
                <w:szCs w:val="24"/>
              </w:rPr>
            </w:pPr>
          </w:p>
        </w:tc>
        <w:tc>
          <w:tcPr>
            <w:tcW w:w="284" w:type="pct"/>
            <w:vMerge/>
            <w:tcBorders>
              <w:top w:val="single" w:sz="18" w:space="0" w:color="000000"/>
              <w:left w:val="single" w:sz="6" w:space="0" w:color="CCCCCC"/>
              <w:bottom w:val="single" w:sz="6" w:space="0" w:color="000000"/>
              <w:right w:val="single" w:sz="6" w:space="0" w:color="000000"/>
            </w:tcBorders>
            <w:vAlign w:val="center"/>
            <w:hideMark/>
          </w:tcPr>
          <w:p w14:paraId="420D3252" w14:textId="77777777" w:rsidR="00AC191D" w:rsidRPr="009E4EEF" w:rsidRDefault="00AC191D" w:rsidP="009E4EEF">
            <w:pPr>
              <w:spacing w:after="0" w:line="240" w:lineRule="auto"/>
              <w:rPr>
                <w:rFonts w:ascii="Times New Roman" w:hAnsi="Times New Roman" w:cs="Times New Roman"/>
                <w:sz w:val="24"/>
                <w:szCs w:val="24"/>
              </w:rPr>
            </w:pPr>
          </w:p>
        </w:tc>
        <w:tc>
          <w:tcPr>
            <w:tcW w:w="269" w:type="pct"/>
            <w:vMerge/>
            <w:tcBorders>
              <w:top w:val="single" w:sz="18" w:space="0" w:color="000000"/>
              <w:left w:val="single" w:sz="6" w:space="0" w:color="CCCCCC"/>
              <w:bottom w:val="single" w:sz="6" w:space="0" w:color="000000"/>
              <w:right w:val="single" w:sz="6" w:space="0" w:color="000000"/>
            </w:tcBorders>
            <w:vAlign w:val="center"/>
            <w:hideMark/>
          </w:tcPr>
          <w:p w14:paraId="0F504D8E" w14:textId="77777777" w:rsidR="00AC191D" w:rsidRPr="009E4EEF" w:rsidRDefault="00AC191D" w:rsidP="009E4EEF">
            <w:pPr>
              <w:spacing w:after="0" w:line="240" w:lineRule="auto"/>
              <w:rPr>
                <w:rFonts w:ascii="Times New Roman" w:hAnsi="Times New Roman" w:cs="Times New Roman"/>
                <w:sz w:val="24"/>
                <w:szCs w:val="24"/>
              </w:rPr>
            </w:pPr>
          </w:p>
        </w:tc>
        <w:tc>
          <w:tcPr>
            <w:tcW w:w="239" w:type="pct"/>
            <w:vMerge/>
            <w:tcBorders>
              <w:top w:val="single" w:sz="18" w:space="0" w:color="000000"/>
              <w:left w:val="single" w:sz="6" w:space="0" w:color="CCCCCC"/>
              <w:bottom w:val="single" w:sz="6" w:space="0" w:color="000000"/>
              <w:right w:val="single" w:sz="6" w:space="0" w:color="000000"/>
            </w:tcBorders>
            <w:vAlign w:val="center"/>
            <w:hideMark/>
          </w:tcPr>
          <w:p w14:paraId="16BC0B4B"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4709F365" w14:textId="77777777" w:rsidR="00AC191D" w:rsidRPr="009E4EEF" w:rsidRDefault="00AC191D" w:rsidP="009E4EEF">
            <w:pPr>
              <w:spacing w:after="0" w:line="240" w:lineRule="auto"/>
              <w:rPr>
                <w:rFonts w:ascii="Times New Roman" w:hAnsi="Times New Roman" w:cs="Times New Roman"/>
                <w:sz w:val="24"/>
                <w:szCs w:val="24"/>
              </w:rPr>
            </w:pPr>
          </w:p>
        </w:tc>
        <w:tc>
          <w:tcPr>
            <w:tcW w:w="240" w:type="pct"/>
            <w:vMerge/>
            <w:tcBorders>
              <w:top w:val="single" w:sz="18" w:space="0" w:color="000000"/>
              <w:left w:val="single" w:sz="6" w:space="0" w:color="CCCCCC"/>
              <w:bottom w:val="single" w:sz="6" w:space="0" w:color="000000"/>
              <w:right w:val="single" w:sz="6" w:space="0" w:color="000000"/>
            </w:tcBorders>
            <w:vAlign w:val="center"/>
            <w:hideMark/>
          </w:tcPr>
          <w:p w14:paraId="63CB378A" w14:textId="77777777" w:rsidR="00AC191D" w:rsidRPr="009E4EEF" w:rsidRDefault="00AC191D" w:rsidP="009E4EEF">
            <w:pPr>
              <w:spacing w:after="0" w:line="240" w:lineRule="auto"/>
              <w:rPr>
                <w:rFonts w:ascii="Times New Roman" w:hAnsi="Times New Roman" w:cs="Times New Roman"/>
                <w:sz w:val="24"/>
                <w:szCs w:val="24"/>
              </w:rPr>
            </w:pPr>
          </w:p>
        </w:tc>
        <w:tc>
          <w:tcPr>
            <w:tcW w:w="242" w:type="pct"/>
            <w:vMerge/>
            <w:tcBorders>
              <w:top w:val="single" w:sz="18" w:space="0" w:color="000000"/>
              <w:left w:val="single" w:sz="6" w:space="0" w:color="CCCCCC"/>
              <w:bottom w:val="single" w:sz="6" w:space="0" w:color="000000"/>
              <w:right w:val="single" w:sz="6" w:space="0" w:color="000000"/>
            </w:tcBorders>
            <w:vAlign w:val="center"/>
            <w:hideMark/>
          </w:tcPr>
          <w:p w14:paraId="061E9EC6" w14:textId="77777777" w:rsidR="00AC191D" w:rsidRPr="009E4EEF" w:rsidRDefault="00AC191D" w:rsidP="009E4EEF">
            <w:pPr>
              <w:spacing w:after="0" w:line="240" w:lineRule="auto"/>
              <w:rPr>
                <w:rFonts w:ascii="Times New Roman" w:hAnsi="Times New Roman" w:cs="Times New Roman"/>
                <w:sz w:val="24"/>
                <w:szCs w:val="24"/>
              </w:rPr>
            </w:pPr>
          </w:p>
        </w:tc>
        <w:tc>
          <w:tcPr>
            <w:tcW w:w="744" w:type="pct"/>
            <w:vMerge/>
            <w:tcBorders>
              <w:top w:val="single" w:sz="18" w:space="0" w:color="000000"/>
              <w:left w:val="single" w:sz="6" w:space="0" w:color="CCCCCC"/>
              <w:bottom w:val="single" w:sz="6" w:space="0" w:color="000000"/>
              <w:right w:val="single" w:sz="6" w:space="0" w:color="000000"/>
            </w:tcBorders>
            <w:vAlign w:val="center"/>
            <w:hideMark/>
          </w:tcPr>
          <w:p w14:paraId="5FBDCC26" w14:textId="77777777" w:rsidR="00AC191D" w:rsidRPr="009E4EEF" w:rsidRDefault="00AC191D" w:rsidP="009E4EEF">
            <w:pPr>
              <w:spacing w:after="0" w:line="240" w:lineRule="auto"/>
              <w:rPr>
                <w:rFonts w:ascii="Times New Roman" w:hAnsi="Times New Roman" w:cs="Times New Roman"/>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0F4DACD1" w14:textId="77777777" w:rsidR="00AC191D" w:rsidRPr="009E4EEF" w:rsidRDefault="00AC191D" w:rsidP="009E4EEF">
            <w:pPr>
              <w:spacing w:after="0" w:line="240" w:lineRule="auto"/>
              <w:rPr>
                <w:rFonts w:ascii="Times New Roman" w:hAnsi="Times New Roman" w:cs="Times New Roman"/>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31EB8DB1" w14:textId="77777777" w:rsidR="00AC191D" w:rsidRPr="009E4EEF" w:rsidRDefault="00AC191D" w:rsidP="009E4EEF">
            <w:pPr>
              <w:spacing w:after="0" w:line="240" w:lineRule="auto"/>
              <w:rPr>
                <w:rFonts w:ascii="Times New Roman" w:hAnsi="Times New Roman" w:cs="Times New Roman"/>
                <w:sz w:val="24"/>
                <w:szCs w:val="24"/>
              </w:rPr>
            </w:pPr>
          </w:p>
        </w:tc>
      </w:tr>
      <w:tr w:rsidR="00AC191D" w:rsidRPr="009E4EEF" w14:paraId="68477C18"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A3B07D1" w14:textId="77777777" w:rsidR="00AC191D" w:rsidRPr="009E4EEF" w:rsidRDefault="00AC191D" w:rsidP="009E4EEF">
            <w:pPr>
              <w:spacing w:after="0" w:line="240" w:lineRule="auto"/>
              <w:rPr>
                <w:rFonts w:ascii="Times New Roman" w:hAnsi="Times New Roman" w:cs="Times New Roman"/>
                <w:sz w:val="24"/>
                <w:szCs w:val="24"/>
              </w:rPr>
            </w:pPr>
          </w:p>
        </w:tc>
        <w:tc>
          <w:tcPr>
            <w:tcW w:w="137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5A79BDD"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безперервний розвиток</w:t>
            </w:r>
          </w:p>
        </w:tc>
        <w:tc>
          <w:tcPr>
            <w:tcW w:w="28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A135D4D" w14:textId="77777777" w:rsidR="00AC191D" w:rsidRPr="009E4EEF" w:rsidRDefault="00AC191D" w:rsidP="009E4EEF">
            <w:pPr>
              <w:spacing w:after="0" w:line="240" w:lineRule="auto"/>
              <w:jc w:val="center"/>
              <w:rPr>
                <w:rFonts w:ascii="Times New Roman" w:hAnsi="Times New Roman" w:cs="Times New Roman"/>
                <w:sz w:val="24"/>
                <w:szCs w:val="24"/>
              </w:rPr>
            </w:pPr>
          </w:p>
        </w:tc>
        <w:tc>
          <w:tcPr>
            <w:tcW w:w="26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3EF4205"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15</w:t>
            </w:r>
          </w:p>
        </w:tc>
        <w:tc>
          <w:tcPr>
            <w:tcW w:w="23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0CC474A3"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15</w:t>
            </w:r>
          </w:p>
        </w:tc>
        <w:tc>
          <w:tcPr>
            <w:tcW w:w="24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7BB5B3E"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11</w:t>
            </w:r>
          </w:p>
        </w:tc>
        <w:tc>
          <w:tcPr>
            <w:tcW w:w="24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9A8450C"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8</w:t>
            </w:r>
          </w:p>
        </w:tc>
        <w:tc>
          <w:tcPr>
            <w:tcW w:w="24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76DA9EF"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18</w:t>
            </w:r>
          </w:p>
        </w:tc>
        <w:tc>
          <w:tcPr>
            <w:tcW w:w="74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51D2816" w14:textId="77777777" w:rsidR="00AC191D" w:rsidRPr="009E4EEF" w:rsidRDefault="00AC191D" w:rsidP="009E4EEF">
            <w:pPr>
              <w:spacing w:after="0" w:line="240" w:lineRule="auto"/>
              <w:jc w:val="center"/>
              <w:rPr>
                <w:rFonts w:ascii="Times New Roman" w:hAnsi="Times New Roman" w:cs="Times New Roman"/>
                <w:sz w:val="24"/>
                <w:szCs w:val="24"/>
              </w:rPr>
            </w:pPr>
            <w:r w:rsidRPr="009E4EEF">
              <w:rPr>
                <w:rFonts w:ascii="Times New Roman" w:hAnsi="Times New Roman" w:cs="Times New Roman"/>
                <w:sz w:val="24"/>
                <w:szCs w:val="24"/>
              </w:rPr>
              <w:t>13,67</w:t>
            </w: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7A97D444" w14:textId="77777777" w:rsidR="00AC191D" w:rsidRPr="009E4EEF" w:rsidRDefault="00AC191D" w:rsidP="009E4EEF">
            <w:pPr>
              <w:spacing w:after="0" w:line="240" w:lineRule="auto"/>
              <w:rPr>
                <w:rFonts w:ascii="Times New Roman" w:hAnsi="Times New Roman" w:cs="Times New Roman"/>
                <w:sz w:val="24"/>
                <w:szCs w:val="24"/>
              </w:rPr>
            </w:pPr>
          </w:p>
        </w:tc>
        <w:tc>
          <w:tcPr>
            <w:tcW w:w="15" w:type="pct"/>
            <w:vAlign w:val="center"/>
            <w:hideMark/>
          </w:tcPr>
          <w:p w14:paraId="2DB733B5" w14:textId="77777777" w:rsidR="00AC191D" w:rsidRPr="009E4EEF" w:rsidRDefault="00AC191D" w:rsidP="009E4EEF">
            <w:pPr>
              <w:spacing w:after="0" w:line="240" w:lineRule="auto"/>
              <w:rPr>
                <w:rFonts w:ascii="Times New Roman" w:hAnsi="Times New Roman" w:cs="Times New Roman"/>
                <w:sz w:val="24"/>
                <w:szCs w:val="24"/>
              </w:rPr>
            </w:pPr>
          </w:p>
        </w:tc>
      </w:tr>
      <w:tr w:rsidR="00AC191D" w:rsidRPr="009E4EEF" w14:paraId="4DDA5548"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1970A0A7" w14:textId="77777777" w:rsidR="00AC191D" w:rsidRPr="009E4EEF" w:rsidRDefault="00AC191D" w:rsidP="009E4EEF">
            <w:pPr>
              <w:spacing w:after="0" w:line="240" w:lineRule="auto"/>
              <w:rPr>
                <w:sz w:val="24"/>
                <w:szCs w:val="24"/>
              </w:rPr>
            </w:pPr>
          </w:p>
        </w:tc>
        <w:tc>
          <w:tcPr>
            <w:tcW w:w="1376" w:type="pct"/>
            <w:vMerge/>
            <w:tcBorders>
              <w:top w:val="single" w:sz="6" w:space="0" w:color="CCCCCC"/>
              <w:left w:val="single" w:sz="6" w:space="0" w:color="CCCCCC"/>
              <w:bottom w:val="single" w:sz="18" w:space="0" w:color="000000"/>
              <w:right w:val="single" w:sz="6" w:space="0" w:color="000000"/>
            </w:tcBorders>
            <w:vAlign w:val="center"/>
            <w:hideMark/>
          </w:tcPr>
          <w:p w14:paraId="10CFEAC8" w14:textId="77777777" w:rsidR="00AC191D" w:rsidRPr="009E4EEF" w:rsidRDefault="00AC191D" w:rsidP="009E4EEF">
            <w:pPr>
              <w:spacing w:after="0" w:line="240" w:lineRule="auto"/>
              <w:rPr>
                <w:sz w:val="24"/>
                <w:szCs w:val="24"/>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136EB268" w14:textId="77777777" w:rsidR="00AC191D" w:rsidRPr="009E4EEF" w:rsidRDefault="00AC191D" w:rsidP="009E4EEF">
            <w:pPr>
              <w:spacing w:after="0" w:line="240" w:lineRule="auto"/>
              <w:rPr>
                <w:sz w:val="24"/>
                <w:szCs w:val="24"/>
              </w:rPr>
            </w:pPr>
          </w:p>
        </w:tc>
        <w:tc>
          <w:tcPr>
            <w:tcW w:w="269" w:type="pct"/>
            <w:vMerge/>
            <w:tcBorders>
              <w:top w:val="single" w:sz="6" w:space="0" w:color="CCCCCC"/>
              <w:left w:val="single" w:sz="6" w:space="0" w:color="CCCCCC"/>
              <w:bottom w:val="single" w:sz="18" w:space="0" w:color="000000"/>
              <w:right w:val="single" w:sz="6" w:space="0" w:color="000000"/>
            </w:tcBorders>
            <w:vAlign w:val="center"/>
            <w:hideMark/>
          </w:tcPr>
          <w:p w14:paraId="18BEF8A8" w14:textId="77777777" w:rsidR="00AC191D" w:rsidRPr="009E4EEF" w:rsidRDefault="00AC191D" w:rsidP="009E4EEF">
            <w:pPr>
              <w:spacing w:after="0" w:line="240" w:lineRule="auto"/>
              <w:rPr>
                <w:sz w:val="24"/>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14:paraId="7155F356"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09650DD3"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04D01A91" w14:textId="77777777" w:rsidR="00AC191D" w:rsidRPr="009E4EEF" w:rsidRDefault="00AC191D" w:rsidP="009E4EEF">
            <w:pPr>
              <w:spacing w:after="0" w:line="240" w:lineRule="auto"/>
              <w:rPr>
                <w:sz w:val="24"/>
                <w:szCs w:val="24"/>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3E97E805" w14:textId="77777777" w:rsidR="00AC191D" w:rsidRPr="009E4EEF" w:rsidRDefault="00AC191D" w:rsidP="009E4EEF">
            <w:pPr>
              <w:spacing w:after="0" w:line="240" w:lineRule="auto"/>
              <w:rPr>
                <w:sz w:val="24"/>
                <w:szCs w:val="24"/>
              </w:rPr>
            </w:pPr>
          </w:p>
        </w:tc>
        <w:tc>
          <w:tcPr>
            <w:tcW w:w="744" w:type="pct"/>
            <w:vMerge/>
            <w:tcBorders>
              <w:top w:val="single" w:sz="6" w:space="0" w:color="CCCCCC"/>
              <w:left w:val="single" w:sz="6" w:space="0" w:color="CCCCCC"/>
              <w:bottom w:val="single" w:sz="18" w:space="0" w:color="000000"/>
              <w:right w:val="single" w:sz="6" w:space="0" w:color="000000"/>
            </w:tcBorders>
            <w:vAlign w:val="center"/>
            <w:hideMark/>
          </w:tcPr>
          <w:p w14:paraId="64ACDC42" w14:textId="77777777" w:rsidR="00AC191D" w:rsidRPr="009E4EEF" w:rsidRDefault="00AC191D" w:rsidP="009E4EEF">
            <w:pPr>
              <w:spacing w:after="0" w:line="240" w:lineRule="auto"/>
              <w:rPr>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568AC503" w14:textId="77777777" w:rsidR="00AC191D" w:rsidRPr="009E4EEF" w:rsidRDefault="00AC191D" w:rsidP="009E4EEF">
            <w:pPr>
              <w:spacing w:after="0" w:line="240" w:lineRule="auto"/>
              <w:rPr>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24B4F9A8" w14:textId="77777777" w:rsidR="00AC191D" w:rsidRPr="009E4EEF" w:rsidRDefault="00AC191D" w:rsidP="009E4EEF">
            <w:pPr>
              <w:spacing w:after="0" w:line="240" w:lineRule="auto"/>
              <w:jc w:val="center"/>
              <w:rPr>
                <w:sz w:val="24"/>
                <w:szCs w:val="24"/>
              </w:rPr>
            </w:pPr>
          </w:p>
        </w:tc>
      </w:tr>
      <w:tr w:rsidR="00AC191D" w:rsidRPr="009E4EEF" w14:paraId="1E9B6C8D"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4C068E49" w14:textId="77777777" w:rsidR="00AC191D" w:rsidRPr="009E4EEF" w:rsidRDefault="00AC191D" w:rsidP="009E4EEF">
            <w:pPr>
              <w:spacing w:after="0" w:line="240" w:lineRule="auto"/>
              <w:rPr>
                <w:sz w:val="24"/>
                <w:szCs w:val="24"/>
              </w:rPr>
            </w:pPr>
          </w:p>
        </w:tc>
        <w:tc>
          <w:tcPr>
            <w:tcW w:w="1376" w:type="pct"/>
            <w:vMerge/>
            <w:tcBorders>
              <w:top w:val="single" w:sz="6" w:space="0" w:color="CCCCCC"/>
              <w:left w:val="single" w:sz="6" w:space="0" w:color="CCCCCC"/>
              <w:bottom w:val="single" w:sz="18" w:space="0" w:color="000000"/>
              <w:right w:val="single" w:sz="6" w:space="0" w:color="000000"/>
            </w:tcBorders>
            <w:vAlign w:val="center"/>
            <w:hideMark/>
          </w:tcPr>
          <w:p w14:paraId="328D6C46" w14:textId="77777777" w:rsidR="00AC191D" w:rsidRPr="009E4EEF" w:rsidRDefault="00AC191D" w:rsidP="009E4EEF">
            <w:pPr>
              <w:spacing w:after="0" w:line="240" w:lineRule="auto"/>
              <w:rPr>
                <w:sz w:val="24"/>
                <w:szCs w:val="24"/>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767F8687" w14:textId="77777777" w:rsidR="00AC191D" w:rsidRPr="009E4EEF" w:rsidRDefault="00AC191D" w:rsidP="009E4EEF">
            <w:pPr>
              <w:spacing w:after="0" w:line="240" w:lineRule="auto"/>
              <w:rPr>
                <w:sz w:val="24"/>
                <w:szCs w:val="24"/>
              </w:rPr>
            </w:pPr>
          </w:p>
        </w:tc>
        <w:tc>
          <w:tcPr>
            <w:tcW w:w="269" w:type="pct"/>
            <w:vMerge/>
            <w:tcBorders>
              <w:top w:val="single" w:sz="6" w:space="0" w:color="CCCCCC"/>
              <w:left w:val="single" w:sz="6" w:space="0" w:color="CCCCCC"/>
              <w:bottom w:val="single" w:sz="18" w:space="0" w:color="000000"/>
              <w:right w:val="single" w:sz="6" w:space="0" w:color="000000"/>
            </w:tcBorders>
            <w:vAlign w:val="center"/>
            <w:hideMark/>
          </w:tcPr>
          <w:p w14:paraId="1558E5BA" w14:textId="77777777" w:rsidR="00AC191D" w:rsidRPr="009E4EEF" w:rsidRDefault="00AC191D" w:rsidP="009E4EEF">
            <w:pPr>
              <w:spacing w:after="0" w:line="240" w:lineRule="auto"/>
              <w:rPr>
                <w:sz w:val="24"/>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14:paraId="0E71CDA4"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3EEAC17A"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4F0D484D" w14:textId="77777777" w:rsidR="00AC191D" w:rsidRPr="009E4EEF" w:rsidRDefault="00AC191D" w:rsidP="009E4EEF">
            <w:pPr>
              <w:spacing w:after="0" w:line="240" w:lineRule="auto"/>
              <w:rPr>
                <w:sz w:val="24"/>
                <w:szCs w:val="24"/>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4B9B89CA" w14:textId="77777777" w:rsidR="00AC191D" w:rsidRPr="009E4EEF" w:rsidRDefault="00AC191D" w:rsidP="009E4EEF">
            <w:pPr>
              <w:spacing w:after="0" w:line="240" w:lineRule="auto"/>
              <w:rPr>
                <w:sz w:val="24"/>
                <w:szCs w:val="24"/>
              </w:rPr>
            </w:pPr>
          </w:p>
        </w:tc>
        <w:tc>
          <w:tcPr>
            <w:tcW w:w="744" w:type="pct"/>
            <w:vMerge/>
            <w:tcBorders>
              <w:top w:val="single" w:sz="6" w:space="0" w:color="CCCCCC"/>
              <w:left w:val="single" w:sz="6" w:space="0" w:color="CCCCCC"/>
              <w:bottom w:val="single" w:sz="18" w:space="0" w:color="000000"/>
              <w:right w:val="single" w:sz="6" w:space="0" w:color="000000"/>
            </w:tcBorders>
            <w:vAlign w:val="center"/>
            <w:hideMark/>
          </w:tcPr>
          <w:p w14:paraId="2901DFBA" w14:textId="77777777" w:rsidR="00AC191D" w:rsidRPr="009E4EEF" w:rsidRDefault="00AC191D" w:rsidP="009E4EEF">
            <w:pPr>
              <w:spacing w:after="0" w:line="240" w:lineRule="auto"/>
              <w:rPr>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47F0B823" w14:textId="77777777" w:rsidR="00AC191D" w:rsidRPr="009E4EEF" w:rsidRDefault="00AC191D" w:rsidP="009E4EEF">
            <w:pPr>
              <w:spacing w:after="0" w:line="240" w:lineRule="auto"/>
              <w:rPr>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8D5012F" w14:textId="77777777" w:rsidR="00AC191D" w:rsidRPr="009E4EEF" w:rsidRDefault="00AC191D" w:rsidP="009E4EEF">
            <w:pPr>
              <w:spacing w:after="0" w:line="240" w:lineRule="auto"/>
              <w:rPr>
                <w:sz w:val="24"/>
                <w:szCs w:val="24"/>
              </w:rPr>
            </w:pPr>
          </w:p>
        </w:tc>
      </w:tr>
      <w:tr w:rsidR="00AC191D" w:rsidRPr="009E4EEF" w14:paraId="591D6D84"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4BA01618" w14:textId="77777777" w:rsidR="00AC191D" w:rsidRPr="009E4EEF" w:rsidRDefault="00AC191D" w:rsidP="009E4EEF">
            <w:pPr>
              <w:spacing w:after="0" w:line="240" w:lineRule="auto"/>
              <w:rPr>
                <w:sz w:val="24"/>
                <w:szCs w:val="24"/>
              </w:rPr>
            </w:pPr>
          </w:p>
        </w:tc>
        <w:tc>
          <w:tcPr>
            <w:tcW w:w="1376" w:type="pct"/>
            <w:vMerge/>
            <w:tcBorders>
              <w:top w:val="single" w:sz="6" w:space="0" w:color="CCCCCC"/>
              <w:left w:val="single" w:sz="6" w:space="0" w:color="CCCCCC"/>
              <w:bottom w:val="single" w:sz="18" w:space="0" w:color="000000"/>
              <w:right w:val="single" w:sz="6" w:space="0" w:color="000000"/>
            </w:tcBorders>
            <w:vAlign w:val="center"/>
            <w:hideMark/>
          </w:tcPr>
          <w:p w14:paraId="577C6B63" w14:textId="77777777" w:rsidR="00AC191D" w:rsidRPr="009E4EEF" w:rsidRDefault="00AC191D" w:rsidP="009E4EEF">
            <w:pPr>
              <w:spacing w:after="0" w:line="240" w:lineRule="auto"/>
              <w:rPr>
                <w:sz w:val="24"/>
                <w:szCs w:val="24"/>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5B30988B" w14:textId="77777777" w:rsidR="00AC191D" w:rsidRPr="009E4EEF" w:rsidRDefault="00AC191D" w:rsidP="009E4EEF">
            <w:pPr>
              <w:spacing w:after="0" w:line="240" w:lineRule="auto"/>
              <w:rPr>
                <w:sz w:val="24"/>
                <w:szCs w:val="24"/>
              </w:rPr>
            </w:pPr>
          </w:p>
        </w:tc>
        <w:tc>
          <w:tcPr>
            <w:tcW w:w="269" w:type="pct"/>
            <w:vMerge/>
            <w:tcBorders>
              <w:top w:val="single" w:sz="6" w:space="0" w:color="CCCCCC"/>
              <w:left w:val="single" w:sz="6" w:space="0" w:color="CCCCCC"/>
              <w:bottom w:val="single" w:sz="18" w:space="0" w:color="000000"/>
              <w:right w:val="single" w:sz="6" w:space="0" w:color="000000"/>
            </w:tcBorders>
            <w:vAlign w:val="center"/>
            <w:hideMark/>
          </w:tcPr>
          <w:p w14:paraId="7258F5B1" w14:textId="77777777" w:rsidR="00AC191D" w:rsidRPr="009E4EEF" w:rsidRDefault="00AC191D" w:rsidP="009E4EEF">
            <w:pPr>
              <w:spacing w:after="0" w:line="240" w:lineRule="auto"/>
              <w:rPr>
                <w:sz w:val="24"/>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14:paraId="59D68867"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163BB010"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0ADE04B9" w14:textId="77777777" w:rsidR="00AC191D" w:rsidRPr="009E4EEF" w:rsidRDefault="00AC191D" w:rsidP="009E4EEF">
            <w:pPr>
              <w:spacing w:after="0" w:line="240" w:lineRule="auto"/>
              <w:rPr>
                <w:sz w:val="24"/>
                <w:szCs w:val="24"/>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0267D573" w14:textId="77777777" w:rsidR="00AC191D" w:rsidRPr="009E4EEF" w:rsidRDefault="00AC191D" w:rsidP="009E4EEF">
            <w:pPr>
              <w:spacing w:after="0" w:line="240" w:lineRule="auto"/>
              <w:rPr>
                <w:sz w:val="24"/>
                <w:szCs w:val="24"/>
              </w:rPr>
            </w:pPr>
          </w:p>
        </w:tc>
        <w:tc>
          <w:tcPr>
            <w:tcW w:w="744" w:type="pct"/>
            <w:vMerge/>
            <w:tcBorders>
              <w:top w:val="single" w:sz="6" w:space="0" w:color="CCCCCC"/>
              <w:left w:val="single" w:sz="6" w:space="0" w:color="CCCCCC"/>
              <w:bottom w:val="single" w:sz="18" w:space="0" w:color="000000"/>
              <w:right w:val="single" w:sz="6" w:space="0" w:color="000000"/>
            </w:tcBorders>
            <w:vAlign w:val="center"/>
            <w:hideMark/>
          </w:tcPr>
          <w:p w14:paraId="64743EA5" w14:textId="77777777" w:rsidR="00AC191D" w:rsidRPr="009E4EEF" w:rsidRDefault="00AC191D" w:rsidP="009E4EEF">
            <w:pPr>
              <w:spacing w:after="0" w:line="240" w:lineRule="auto"/>
              <w:rPr>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5A941DAE" w14:textId="77777777" w:rsidR="00AC191D" w:rsidRPr="009E4EEF" w:rsidRDefault="00AC191D" w:rsidP="009E4EEF">
            <w:pPr>
              <w:spacing w:after="0" w:line="240" w:lineRule="auto"/>
              <w:rPr>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7F436F9A" w14:textId="77777777" w:rsidR="00AC191D" w:rsidRPr="009E4EEF" w:rsidRDefault="00AC191D" w:rsidP="009E4EEF">
            <w:pPr>
              <w:spacing w:after="0" w:line="240" w:lineRule="auto"/>
              <w:rPr>
                <w:sz w:val="24"/>
                <w:szCs w:val="24"/>
              </w:rPr>
            </w:pPr>
          </w:p>
        </w:tc>
      </w:tr>
      <w:tr w:rsidR="00AC191D" w:rsidRPr="009E4EEF" w14:paraId="25EB7395" w14:textId="77777777" w:rsidTr="00625380">
        <w:trPr>
          <w:trHeight w:val="315"/>
        </w:trPr>
        <w:tc>
          <w:tcPr>
            <w:tcW w:w="791" w:type="pct"/>
            <w:vMerge/>
            <w:tcBorders>
              <w:top w:val="single" w:sz="18" w:space="0" w:color="000000"/>
              <w:left w:val="single" w:sz="18" w:space="0" w:color="000000"/>
              <w:bottom w:val="single" w:sz="18" w:space="0" w:color="000000"/>
              <w:right w:val="single" w:sz="6" w:space="0" w:color="000000"/>
            </w:tcBorders>
            <w:vAlign w:val="center"/>
            <w:hideMark/>
          </w:tcPr>
          <w:p w14:paraId="58FF437C" w14:textId="77777777" w:rsidR="00AC191D" w:rsidRPr="009E4EEF" w:rsidRDefault="00AC191D" w:rsidP="009E4EEF">
            <w:pPr>
              <w:spacing w:after="0" w:line="240" w:lineRule="auto"/>
              <w:rPr>
                <w:sz w:val="24"/>
                <w:szCs w:val="24"/>
              </w:rPr>
            </w:pPr>
          </w:p>
        </w:tc>
        <w:tc>
          <w:tcPr>
            <w:tcW w:w="1376" w:type="pct"/>
            <w:vMerge/>
            <w:tcBorders>
              <w:top w:val="single" w:sz="6" w:space="0" w:color="CCCCCC"/>
              <w:left w:val="single" w:sz="6" w:space="0" w:color="CCCCCC"/>
              <w:bottom w:val="single" w:sz="18" w:space="0" w:color="000000"/>
              <w:right w:val="single" w:sz="6" w:space="0" w:color="000000"/>
            </w:tcBorders>
            <w:vAlign w:val="center"/>
            <w:hideMark/>
          </w:tcPr>
          <w:p w14:paraId="53CCC06A" w14:textId="77777777" w:rsidR="00AC191D" w:rsidRPr="009E4EEF" w:rsidRDefault="00AC191D" w:rsidP="009E4EEF">
            <w:pPr>
              <w:spacing w:after="0" w:line="240" w:lineRule="auto"/>
              <w:rPr>
                <w:sz w:val="24"/>
                <w:szCs w:val="24"/>
              </w:rPr>
            </w:pPr>
          </w:p>
        </w:tc>
        <w:tc>
          <w:tcPr>
            <w:tcW w:w="284" w:type="pct"/>
            <w:vMerge/>
            <w:tcBorders>
              <w:top w:val="single" w:sz="6" w:space="0" w:color="CCCCCC"/>
              <w:left w:val="single" w:sz="6" w:space="0" w:color="CCCCCC"/>
              <w:bottom w:val="single" w:sz="18" w:space="0" w:color="000000"/>
              <w:right w:val="single" w:sz="6" w:space="0" w:color="000000"/>
            </w:tcBorders>
            <w:vAlign w:val="center"/>
            <w:hideMark/>
          </w:tcPr>
          <w:p w14:paraId="70FE9093" w14:textId="77777777" w:rsidR="00AC191D" w:rsidRPr="009E4EEF" w:rsidRDefault="00AC191D" w:rsidP="009E4EEF">
            <w:pPr>
              <w:spacing w:after="0" w:line="240" w:lineRule="auto"/>
              <w:rPr>
                <w:sz w:val="24"/>
                <w:szCs w:val="24"/>
              </w:rPr>
            </w:pPr>
          </w:p>
        </w:tc>
        <w:tc>
          <w:tcPr>
            <w:tcW w:w="269" w:type="pct"/>
            <w:vMerge/>
            <w:tcBorders>
              <w:top w:val="single" w:sz="6" w:space="0" w:color="CCCCCC"/>
              <w:left w:val="single" w:sz="6" w:space="0" w:color="CCCCCC"/>
              <w:bottom w:val="single" w:sz="18" w:space="0" w:color="000000"/>
              <w:right w:val="single" w:sz="6" w:space="0" w:color="000000"/>
            </w:tcBorders>
            <w:vAlign w:val="center"/>
            <w:hideMark/>
          </w:tcPr>
          <w:p w14:paraId="70FD5115" w14:textId="77777777" w:rsidR="00AC191D" w:rsidRPr="009E4EEF" w:rsidRDefault="00AC191D" w:rsidP="009E4EEF">
            <w:pPr>
              <w:spacing w:after="0" w:line="240" w:lineRule="auto"/>
              <w:rPr>
                <w:sz w:val="24"/>
                <w:szCs w:val="24"/>
              </w:rPr>
            </w:pPr>
          </w:p>
        </w:tc>
        <w:tc>
          <w:tcPr>
            <w:tcW w:w="239" w:type="pct"/>
            <w:vMerge/>
            <w:tcBorders>
              <w:top w:val="single" w:sz="6" w:space="0" w:color="CCCCCC"/>
              <w:left w:val="single" w:sz="6" w:space="0" w:color="CCCCCC"/>
              <w:bottom w:val="single" w:sz="18" w:space="0" w:color="000000"/>
              <w:right w:val="single" w:sz="6" w:space="0" w:color="000000"/>
            </w:tcBorders>
            <w:vAlign w:val="center"/>
            <w:hideMark/>
          </w:tcPr>
          <w:p w14:paraId="411C923B"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0022C82A" w14:textId="77777777" w:rsidR="00AC191D" w:rsidRPr="009E4EEF" w:rsidRDefault="00AC191D" w:rsidP="009E4EEF">
            <w:pPr>
              <w:spacing w:after="0" w:line="240" w:lineRule="auto"/>
              <w:rPr>
                <w:sz w:val="24"/>
                <w:szCs w:val="24"/>
              </w:rPr>
            </w:pPr>
          </w:p>
        </w:tc>
        <w:tc>
          <w:tcPr>
            <w:tcW w:w="240" w:type="pct"/>
            <w:vMerge/>
            <w:tcBorders>
              <w:top w:val="single" w:sz="6" w:space="0" w:color="CCCCCC"/>
              <w:left w:val="single" w:sz="6" w:space="0" w:color="CCCCCC"/>
              <w:bottom w:val="single" w:sz="18" w:space="0" w:color="000000"/>
              <w:right w:val="single" w:sz="6" w:space="0" w:color="000000"/>
            </w:tcBorders>
            <w:vAlign w:val="center"/>
            <w:hideMark/>
          </w:tcPr>
          <w:p w14:paraId="5165A7DB" w14:textId="77777777" w:rsidR="00AC191D" w:rsidRPr="009E4EEF" w:rsidRDefault="00AC191D" w:rsidP="009E4EEF">
            <w:pPr>
              <w:spacing w:after="0" w:line="240" w:lineRule="auto"/>
              <w:rPr>
                <w:sz w:val="24"/>
                <w:szCs w:val="24"/>
              </w:rPr>
            </w:pPr>
          </w:p>
        </w:tc>
        <w:tc>
          <w:tcPr>
            <w:tcW w:w="242" w:type="pct"/>
            <w:vMerge/>
            <w:tcBorders>
              <w:top w:val="single" w:sz="6" w:space="0" w:color="CCCCCC"/>
              <w:left w:val="single" w:sz="6" w:space="0" w:color="CCCCCC"/>
              <w:bottom w:val="single" w:sz="18" w:space="0" w:color="000000"/>
              <w:right w:val="single" w:sz="6" w:space="0" w:color="000000"/>
            </w:tcBorders>
            <w:vAlign w:val="center"/>
            <w:hideMark/>
          </w:tcPr>
          <w:p w14:paraId="43E56A08" w14:textId="77777777" w:rsidR="00AC191D" w:rsidRPr="009E4EEF" w:rsidRDefault="00AC191D" w:rsidP="009E4EEF">
            <w:pPr>
              <w:spacing w:after="0" w:line="240" w:lineRule="auto"/>
              <w:rPr>
                <w:sz w:val="24"/>
                <w:szCs w:val="24"/>
              </w:rPr>
            </w:pPr>
          </w:p>
        </w:tc>
        <w:tc>
          <w:tcPr>
            <w:tcW w:w="744" w:type="pct"/>
            <w:vMerge/>
            <w:tcBorders>
              <w:top w:val="single" w:sz="6" w:space="0" w:color="CCCCCC"/>
              <w:left w:val="single" w:sz="6" w:space="0" w:color="CCCCCC"/>
              <w:bottom w:val="single" w:sz="18" w:space="0" w:color="000000"/>
              <w:right w:val="single" w:sz="6" w:space="0" w:color="000000"/>
            </w:tcBorders>
            <w:vAlign w:val="center"/>
            <w:hideMark/>
          </w:tcPr>
          <w:p w14:paraId="5321853B" w14:textId="77777777" w:rsidR="00AC191D" w:rsidRPr="009E4EEF" w:rsidRDefault="00AC191D" w:rsidP="009E4EEF">
            <w:pPr>
              <w:spacing w:after="0" w:line="240" w:lineRule="auto"/>
              <w:rPr>
                <w:sz w:val="24"/>
                <w:szCs w:val="24"/>
              </w:rPr>
            </w:pPr>
          </w:p>
        </w:tc>
        <w:tc>
          <w:tcPr>
            <w:tcW w:w="561" w:type="pct"/>
            <w:vMerge/>
            <w:tcBorders>
              <w:top w:val="single" w:sz="18" w:space="0" w:color="000000"/>
              <w:left w:val="single" w:sz="6" w:space="0" w:color="CCCCCC"/>
              <w:bottom w:val="single" w:sz="18" w:space="0" w:color="000000"/>
              <w:right w:val="single" w:sz="18" w:space="0" w:color="000000"/>
            </w:tcBorders>
            <w:vAlign w:val="center"/>
            <w:hideMark/>
          </w:tcPr>
          <w:p w14:paraId="4800F77C" w14:textId="77777777" w:rsidR="00AC191D" w:rsidRPr="009E4EEF" w:rsidRDefault="00AC191D" w:rsidP="009E4EEF">
            <w:pPr>
              <w:spacing w:after="0" w:line="240" w:lineRule="auto"/>
              <w:rPr>
                <w:sz w:val="24"/>
                <w:szCs w:val="24"/>
              </w:rPr>
            </w:pPr>
          </w:p>
        </w:tc>
        <w:tc>
          <w:tcPr>
            <w:tcW w:w="15" w:type="pct"/>
            <w:tcBorders>
              <w:top w:val="outset" w:sz="6" w:space="0" w:color="auto"/>
              <w:left w:val="outset" w:sz="6" w:space="0" w:color="auto"/>
              <w:bottom w:val="outset" w:sz="6" w:space="0" w:color="auto"/>
              <w:right w:val="outset" w:sz="6" w:space="0" w:color="auto"/>
            </w:tcBorders>
            <w:vAlign w:val="center"/>
            <w:hideMark/>
          </w:tcPr>
          <w:p w14:paraId="68231BB9" w14:textId="77777777" w:rsidR="00AC191D" w:rsidRPr="009E4EEF" w:rsidRDefault="00AC191D" w:rsidP="009E4EEF">
            <w:pPr>
              <w:spacing w:after="0" w:line="240" w:lineRule="auto"/>
              <w:rPr>
                <w:sz w:val="24"/>
                <w:szCs w:val="24"/>
              </w:rPr>
            </w:pPr>
          </w:p>
        </w:tc>
      </w:tr>
    </w:tbl>
    <w:p w14:paraId="1F2C444E" w14:textId="28BE80B8"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2F5CC978" w14:textId="77777777" w:rsidR="006055AF" w:rsidRPr="009E4EEF" w:rsidRDefault="006055AF" w:rsidP="009E4EEF">
      <w:pPr>
        <w:spacing w:after="0" w:line="240" w:lineRule="auto"/>
        <w:rPr>
          <w:rFonts w:ascii="Times New Roman" w:eastAsia="Times New Roman" w:hAnsi="Times New Roman" w:cs="Times New Roman"/>
          <w:sz w:val="24"/>
          <w:szCs w:val="24"/>
          <w:lang w:eastAsia="uk-UA"/>
        </w:rPr>
      </w:pPr>
    </w:p>
    <w:p w14:paraId="004517AB" w14:textId="77777777" w:rsidR="009F4687" w:rsidRPr="009E4EEF" w:rsidRDefault="009F4687" w:rsidP="009E4EEF">
      <w:pPr>
        <w:numPr>
          <w:ilvl w:val="0"/>
          <w:numId w:val="5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Надана кандидатом інформація письмово та під час співбесіди не продемонструвала належний рівень відповідальності та безперервного розвитку кандидата.</w:t>
      </w:r>
    </w:p>
    <w:p w14:paraId="75A9987D" w14:textId="792551E3" w:rsidR="009F4687" w:rsidRPr="009E4EEF" w:rsidRDefault="009F4687" w:rsidP="009E4EEF">
      <w:pPr>
        <w:numPr>
          <w:ilvl w:val="0"/>
          <w:numId w:val="5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Відтак,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за результатами оцінювання у складі палати, становить 30.33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із 50 можливих, що є нижчим за 75% (37,5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w:t>
      </w:r>
      <w:r w:rsidR="00D43F20"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Комісія виснує, що кандидат не підтвердив здатності здійснювати правосуддя в апеляційному адміністративному суді за критерієм особистої компетентності. </w:t>
      </w:r>
    </w:p>
    <w:p w14:paraId="574F6FC3" w14:textId="77777777" w:rsidR="00416BF5" w:rsidRPr="009E4EEF" w:rsidRDefault="00416BF5"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064BFB69"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u w:val="single"/>
          <w:lang w:eastAsia="uk-UA"/>
        </w:rPr>
        <w:t>V-ІІІ. Встановлення відповідності кандидата критерію соціальної компетентності.</w:t>
      </w:r>
    </w:p>
    <w:p w14:paraId="2BF8A0B8" w14:textId="1D7F6C80"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7C3A87CF" w14:textId="77777777" w:rsidR="009F4687" w:rsidRPr="009E4EEF" w:rsidRDefault="009F4687" w:rsidP="009E4EEF">
      <w:pPr>
        <w:numPr>
          <w:ilvl w:val="0"/>
          <w:numId w:val="5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6C790FA6" w14:textId="77777777" w:rsidR="009F4687" w:rsidRPr="009E4EEF" w:rsidRDefault="009F4687" w:rsidP="009E4EEF">
      <w:pPr>
        <w:pStyle w:val="a4"/>
        <w:numPr>
          <w:ilvl w:val="0"/>
          <w:numId w:val="57"/>
        </w:numPr>
        <w:shd w:val="clear" w:color="auto" w:fill="FFFFFF"/>
        <w:ind w:left="0" w:firstLine="709"/>
        <w:jc w:val="both"/>
        <w:textAlignment w:val="baseline"/>
        <w:rPr>
          <w:color w:val="000000"/>
          <w:lang w:eastAsia="uk-UA"/>
        </w:rPr>
      </w:pPr>
      <w:r w:rsidRPr="009E4EEF">
        <w:rPr>
          <w:color w:val="000000"/>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7B5A5274" w14:textId="5EED9C54" w:rsidR="009F4687" w:rsidRPr="009E4EEF" w:rsidRDefault="00773CF8" w:rsidP="009E4EEF">
      <w:pPr>
        <w:pStyle w:val="a4"/>
        <w:shd w:val="clear" w:color="auto" w:fill="FFFFFF"/>
        <w:ind w:left="0" w:firstLine="709"/>
        <w:jc w:val="both"/>
        <w:textAlignment w:val="baseline"/>
        <w:rPr>
          <w:color w:val="000000"/>
          <w:lang w:eastAsia="uk-UA"/>
        </w:rPr>
      </w:pPr>
      <w:r w:rsidRPr="009E4EEF">
        <w:rPr>
          <w:color w:val="000000"/>
          <w:lang w:eastAsia="uk-UA"/>
        </w:rPr>
        <w:t xml:space="preserve">79.1 </w:t>
      </w:r>
      <w:r w:rsidR="009F4687" w:rsidRPr="009E4EEF">
        <w:rPr>
          <w:color w:val="000000"/>
          <w:lang w:eastAsia="uk-UA"/>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w:t>
      </w:r>
      <w:r w:rsidR="009F4687" w:rsidRPr="009E4EEF">
        <w:rPr>
          <w:color w:val="000000"/>
          <w:lang w:eastAsia="uk-UA"/>
        </w:rPr>
        <w:lastRenderedPageBreak/>
        <w:t>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531A35C8" w14:textId="7BF5EBD5" w:rsidR="009F4687" w:rsidRPr="009E4EEF" w:rsidRDefault="009F4687" w:rsidP="009E4EEF">
      <w:pPr>
        <w:pStyle w:val="a4"/>
        <w:numPr>
          <w:ilvl w:val="1"/>
          <w:numId w:val="115"/>
        </w:numPr>
        <w:shd w:val="clear" w:color="auto" w:fill="FFFFFF"/>
        <w:ind w:left="0" w:firstLine="709"/>
        <w:jc w:val="both"/>
        <w:textAlignment w:val="baseline"/>
        <w:rPr>
          <w:color w:val="000000"/>
          <w:lang w:eastAsia="uk-UA"/>
        </w:rPr>
      </w:pPr>
      <w:r w:rsidRPr="009E4EEF">
        <w:rPr>
          <w:color w:val="000000"/>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8E2D6C" w14:textId="235CDBB1" w:rsidR="009F4687" w:rsidRPr="009E4EEF" w:rsidRDefault="00F4573F" w:rsidP="009E4EEF">
      <w:pPr>
        <w:pStyle w:val="a4"/>
        <w:shd w:val="clear" w:color="auto" w:fill="FFFFFF"/>
        <w:ind w:left="0" w:firstLine="709"/>
        <w:jc w:val="both"/>
        <w:textAlignment w:val="baseline"/>
        <w:rPr>
          <w:color w:val="000000"/>
          <w:lang w:eastAsia="uk-UA"/>
        </w:rPr>
      </w:pPr>
      <w:r w:rsidRPr="009E4EEF">
        <w:rPr>
          <w:color w:val="000000"/>
          <w:lang w:eastAsia="uk-UA"/>
        </w:rPr>
        <w:t xml:space="preserve">79.3 </w:t>
      </w:r>
      <w:r w:rsidR="009F4687" w:rsidRPr="009E4EEF">
        <w:rPr>
          <w:color w:val="000000"/>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7C71540F" w14:textId="222D755A" w:rsidR="009F4687" w:rsidRPr="009E4EEF" w:rsidRDefault="009F4687" w:rsidP="009E4EEF">
      <w:pPr>
        <w:pStyle w:val="a4"/>
        <w:numPr>
          <w:ilvl w:val="1"/>
          <w:numId w:val="116"/>
        </w:numPr>
        <w:shd w:val="clear" w:color="auto" w:fill="FFFFFF"/>
        <w:ind w:left="0" w:firstLine="709"/>
        <w:jc w:val="both"/>
        <w:textAlignment w:val="baseline"/>
        <w:rPr>
          <w:color w:val="000000"/>
          <w:lang w:eastAsia="uk-UA"/>
        </w:rPr>
      </w:pPr>
      <w:r w:rsidRPr="009E4EEF">
        <w:rPr>
          <w:color w:val="000000"/>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22B2BCC3" w14:textId="77777777" w:rsidR="009F4687" w:rsidRPr="009E4EEF" w:rsidRDefault="009F4687" w:rsidP="009E4EEF">
      <w:pPr>
        <w:numPr>
          <w:ilvl w:val="0"/>
          <w:numId w:val="5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3E003B50" w14:textId="020FDFD9" w:rsidR="009F4687" w:rsidRPr="009E4EEF" w:rsidRDefault="009F4687" w:rsidP="009E4EEF">
      <w:pPr>
        <w:numPr>
          <w:ilvl w:val="0"/>
          <w:numId w:val="5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ефективна взаємодія – 12,5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стійкість мотивації – 12,5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емоційна стійкість – 12,5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w:t>
      </w:r>
    </w:p>
    <w:p w14:paraId="29F047ED" w14:textId="7658F318" w:rsidR="009F4687" w:rsidRPr="009E4EEF" w:rsidRDefault="00634311" w:rsidP="009E4EEF">
      <w:pPr>
        <w:numPr>
          <w:ilvl w:val="0"/>
          <w:numId w:val="6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Аналогічно</w:t>
      </w:r>
      <w:r w:rsidR="0088029B" w:rsidRPr="009E4EEF">
        <w:rPr>
          <w:rFonts w:ascii="Times New Roman" w:eastAsia="Times New Roman" w:hAnsi="Times New Roman" w:cs="Times New Roman"/>
          <w:color w:val="000000"/>
          <w:sz w:val="24"/>
          <w:szCs w:val="24"/>
          <w:lang w:eastAsia="uk-UA"/>
        </w:rPr>
        <w:t xml:space="preserve"> оцінюванню відповідності критерію</w:t>
      </w:r>
      <w:r w:rsidR="009F4687" w:rsidRPr="009E4EEF">
        <w:rPr>
          <w:rFonts w:ascii="Times New Roman" w:eastAsia="Times New Roman" w:hAnsi="Times New Roman" w:cs="Times New Roman"/>
          <w:color w:val="000000"/>
          <w:sz w:val="24"/>
          <w:szCs w:val="24"/>
          <w:lang w:eastAsia="uk-UA"/>
        </w:rPr>
        <w:t xml:space="preserve"> особисто</w:t>
      </w:r>
      <w:r w:rsidR="0088029B" w:rsidRPr="009E4EEF">
        <w:rPr>
          <w:rFonts w:ascii="Times New Roman" w:eastAsia="Times New Roman" w:hAnsi="Times New Roman" w:cs="Times New Roman"/>
          <w:color w:val="000000"/>
          <w:sz w:val="24"/>
          <w:szCs w:val="24"/>
          <w:lang w:eastAsia="uk-UA"/>
        </w:rPr>
        <w:t>ї</w:t>
      </w:r>
      <w:r w:rsidR="009F4687" w:rsidRPr="009E4EEF">
        <w:rPr>
          <w:rFonts w:ascii="Times New Roman" w:eastAsia="Times New Roman" w:hAnsi="Times New Roman" w:cs="Times New Roman"/>
          <w:color w:val="000000"/>
          <w:sz w:val="24"/>
          <w:szCs w:val="24"/>
          <w:lang w:eastAsia="uk-UA"/>
        </w:rPr>
        <w:t xml:space="preserve"> компетентн</w:t>
      </w:r>
      <w:r w:rsidR="0088029B" w:rsidRPr="009E4EEF">
        <w:rPr>
          <w:rFonts w:ascii="Times New Roman" w:eastAsia="Times New Roman" w:hAnsi="Times New Roman" w:cs="Times New Roman"/>
          <w:color w:val="000000"/>
          <w:sz w:val="24"/>
          <w:szCs w:val="24"/>
          <w:lang w:eastAsia="uk-UA"/>
        </w:rPr>
        <w:t>ості</w:t>
      </w:r>
      <w:r w:rsidR="009F4687" w:rsidRPr="009E4EEF">
        <w:rPr>
          <w:rFonts w:ascii="Times New Roman" w:eastAsia="Times New Roman" w:hAnsi="Times New Roman" w:cs="Times New Roman"/>
          <w:color w:val="000000"/>
          <w:sz w:val="24"/>
          <w:szCs w:val="24"/>
          <w:lang w:eastAsia="uk-UA"/>
        </w:rPr>
        <w:t xml:space="preserve"> при оцін</w:t>
      </w:r>
      <w:r w:rsidR="0088029B" w:rsidRPr="009E4EEF">
        <w:rPr>
          <w:rFonts w:ascii="Times New Roman" w:eastAsia="Times New Roman" w:hAnsi="Times New Roman" w:cs="Times New Roman"/>
          <w:color w:val="000000"/>
          <w:sz w:val="24"/>
          <w:szCs w:val="24"/>
          <w:lang w:eastAsia="uk-UA"/>
        </w:rPr>
        <w:t>юванні</w:t>
      </w:r>
      <w:r w:rsidR="009F4687" w:rsidRPr="009E4EEF">
        <w:rPr>
          <w:rFonts w:ascii="Times New Roman" w:eastAsia="Times New Roman" w:hAnsi="Times New Roman" w:cs="Times New Roman"/>
          <w:color w:val="000000"/>
          <w:sz w:val="24"/>
          <w:szCs w:val="24"/>
          <w:lang w:eastAsia="uk-UA"/>
        </w:rPr>
        <w:t xml:space="preserve"> відповідності кандидата критерію соціальної компетентності саме на кандидата покладається </w:t>
      </w:r>
      <w:r w:rsidR="00A92E4B" w:rsidRPr="009E4EEF">
        <w:rPr>
          <w:rFonts w:ascii="Times New Roman" w:eastAsia="Times New Roman" w:hAnsi="Times New Roman" w:cs="Times New Roman"/>
          <w:color w:val="000000"/>
          <w:sz w:val="24"/>
          <w:szCs w:val="24"/>
          <w:lang w:eastAsia="uk-UA"/>
        </w:rPr>
        <w:t>обов’язок</w:t>
      </w:r>
      <w:r w:rsidR="009F4687" w:rsidRPr="009E4EEF">
        <w:rPr>
          <w:rFonts w:ascii="Times New Roman" w:eastAsia="Times New Roman" w:hAnsi="Times New Roman" w:cs="Times New Roman"/>
          <w:color w:val="000000"/>
          <w:sz w:val="24"/>
          <w:szCs w:val="24"/>
          <w:lang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02041D1A" w14:textId="10922CC1" w:rsidR="009F4687" w:rsidRPr="009E4EEF" w:rsidRDefault="009F4687" w:rsidP="009E4EEF">
      <w:pPr>
        <w:numPr>
          <w:ilvl w:val="0"/>
          <w:numId w:val="6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Таким чином, оцінювання кандидата за критерієм соціальної компетентності здійснюється за активної участі кандидата в підтвердженні </w:t>
      </w:r>
      <w:r w:rsidR="009D67E5" w:rsidRPr="009E4EEF">
        <w:rPr>
          <w:rFonts w:ascii="Times New Roman" w:eastAsia="Times New Roman" w:hAnsi="Times New Roman" w:cs="Times New Roman"/>
          <w:color w:val="000000"/>
          <w:sz w:val="24"/>
          <w:szCs w:val="24"/>
          <w:lang w:eastAsia="uk-UA"/>
        </w:rPr>
        <w:t>своєї</w:t>
      </w:r>
      <w:r w:rsidRPr="009E4EEF">
        <w:rPr>
          <w:rFonts w:ascii="Times New Roman" w:eastAsia="Times New Roman" w:hAnsi="Times New Roman" w:cs="Times New Roman"/>
          <w:color w:val="000000"/>
          <w:sz w:val="24"/>
          <w:szCs w:val="24"/>
          <w:lang w:eastAsia="uk-UA"/>
        </w:rPr>
        <w:t xml:space="preserve">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72DD254A" w14:textId="6D85CAEB" w:rsidR="009F4687" w:rsidRPr="009E4EEF" w:rsidRDefault="003014A5" w:rsidP="009E4EEF">
      <w:pPr>
        <w:numPr>
          <w:ilvl w:val="0"/>
          <w:numId w:val="6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При оцінюванні</w:t>
      </w:r>
      <w:r w:rsidR="009F4687" w:rsidRPr="009E4EEF">
        <w:rPr>
          <w:rFonts w:ascii="Times New Roman" w:eastAsia="Times New Roman" w:hAnsi="Times New Roman" w:cs="Times New Roman"/>
          <w:color w:val="000000"/>
          <w:sz w:val="24"/>
          <w:szCs w:val="24"/>
          <w:lang w:eastAsia="uk-UA"/>
        </w:rPr>
        <w:t xml:space="preserve"> критерію соціальної компетентності </w:t>
      </w:r>
      <w:r w:rsidRPr="009E4EEF">
        <w:rPr>
          <w:rFonts w:ascii="Times New Roman" w:eastAsia="Times New Roman" w:hAnsi="Times New Roman" w:cs="Times New Roman"/>
          <w:color w:val="000000"/>
          <w:sz w:val="24"/>
          <w:szCs w:val="24"/>
          <w:lang w:eastAsia="uk-UA"/>
        </w:rPr>
        <w:t xml:space="preserve">за аналогією оцінювання </w:t>
      </w:r>
      <w:r w:rsidR="009F4687" w:rsidRPr="009E4EEF">
        <w:rPr>
          <w:rFonts w:ascii="Times New Roman" w:eastAsia="Times New Roman" w:hAnsi="Times New Roman" w:cs="Times New Roman"/>
          <w:color w:val="000000"/>
          <w:sz w:val="24"/>
          <w:szCs w:val="24"/>
          <w:lang w:eastAsia="uk-UA"/>
        </w:rPr>
        <w:t>особисто</w:t>
      </w:r>
      <w:r w:rsidRPr="009E4EEF">
        <w:rPr>
          <w:rFonts w:ascii="Times New Roman" w:eastAsia="Times New Roman" w:hAnsi="Times New Roman" w:cs="Times New Roman"/>
          <w:color w:val="000000"/>
          <w:sz w:val="24"/>
          <w:szCs w:val="24"/>
          <w:lang w:eastAsia="uk-UA"/>
        </w:rPr>
        <w:t>ї</w:t>
      </w:r>
      <w:r w:rsidR="009F4687" w:rsidRPr="009E4EEF">
        <w:rPr>
          <w:rFonts w:ascii="Times New Roman" w:eastAsia="Times New Roman" w:hAnsi="Times New Roman" w:cs="Times New Roman"/>
          <w:color w:val="000000"/>
          <w:sz w:val="24"/>
          <w:szCs w:val="24"/>
          <w:lang w:eastAsia="uk-UA"/>
        </w:rPr>
        <w:t xml:space="preserve"> компетен</w:t>
      </w:r>
      <w:r w:rsidR="00954816" w:rsidRPr="009E4EEF">
        <w:rPr>
          <w:rFonts w:ascii="Times New Roman" w:eastAsia="Times New Roman" w:hAnsi="Times New Roman" w:cs="Times New Roman"/>
          <w:color w:val="000000"/>
          <w:sz w:val="24"/>
          <w:szCs w:val="24"/>
          <w:lang w:eastAsia="uk-UA"/>
        </w:rPr>
        <w:t>тності</w:t>
      </w:r>
      <w:r w:rsidR="009F4687" w:rsidRPr="009E4EEF">
        <w:rPr>
          <w:rFonts w:ascii="Times New Roman" w:eastAsia="Times New Roman" w:hAnsi="Times New Roman" w:cs="Times New Roman"/>
          <w:color w:val="000000"/>
          <w:sz w:val="24"/>
          <w:szCs w:val="24"/>
          <w:lang w:eastAsia="uk-UA"/>
        </w:rPr>
        <w:t xml:space="preserve"> </w:t>
      </w:r>
      <w:r w:rsidR="00954816" w:rsidRPr="009E4EEF">
        <w:rPr>
          <w:rFonts w:ascii="Times New Roman" w:eastAsia="Times New Roman" w:hAnsi="Times New Roman" w:cs="Times New Roman"/>
          <w:color w:val="000000"/>
          <w:sz w:val="24"/>
          <w:szCs w:val="24"/>
          <w:lang w:eastAsia="uk-UA"/>
        </w:rPr>
        <w:t xml:space="preserve">не менш важлива роль з </w:t>
      </w:r>
      <w:r w:rsidR="009F4687" w:rsidRPr="009E4EEF">
        <w:rPr>
          <w:rFonts w:ascii="Times New Roman" w:eastAsia="Times New Roman" w:hAnsi="Times New Roman" w:cs="Times New Roman"/>
          <w:color w:val="000000"/>
          <w:sz w:val="24"/>
          <w:szCs w:val="24"/>
          <w:lang w:eastAsia="uk-UA"/>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28EC8697" w14:textId="77777777" w:rsidR="009F4687" w:rsidRPr="009E4EEF" w:rsidRDefault="009F4687" w:rsidP="009E4EEF">
      <w:pPr>
        <w:numPr>
          <w:ilvl w:val="0"/>
          <w:numId w:val="6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lastRenderedPageBreak/>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14F41F42" w14:textId="1A5E1832" w:rsidR="009F4687" w:rsidRPr="009E4EEF" w:rsidRDefault="009F4687" w:rsidP="009E4EEF">
      <w:pPr>
        <w:numPr>
          <w:ilvl w:val="0"/>
          <w:numId w:val="6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Саме </w:t>
      </w:r>
      <w:r w:rsidR="00954816" w:rsidRPr="009E4EEF">
        <w:rPr>
          <w:rFonts w:ascii="Times New Roman" w:eastAsia="Times New Roman" w:hAnsi="Times New Roman" w:cs="Times New Roman"/>
          <w:color w:val="000000"/>
          <w:sz w:val="24"/>
          <w:szCs w:val="24"/>
          <w:lang w:eastAsia="uk-UA"/>
        </w:rPr>
        <w:t xml:space="preserve">під час </w:t>
      </w:r>
      <w:r w:rsidRPr="009E4EEF">
        <w:rPr>
          <w:rFonts w:ascii="Times New Roman" w:eastAsia="Times New Roman" w:hAnsi="Times New Roman" w:cs="Times New Roman"/>
          <w:color w:val="000000"/>
          <w:sz w:val="24"/>
          <w:szCs w:val="24"/>
          <w:lang w:eastAsia="uk-UA"/>
        </w:rPr>
        <w:t>співбесід</w:t>
      </w:r>
      <w:r w:rsidR="00954816" w:rsidRPr="009E4EEF">
        <w:rPr>
          <w:rFonts w:ascii="Times New Roman" w:eastAsia="Times New Roman" w:hAnsi="Times New Roman" w:cs="Times New Roman"/>
          <w:color w:val="000000"/>
          <w:sz w:val="24"/>
          <w:szCs w:val="24"/>
          <w:lang w:eastAsia="uk-UA"/>
        </w:rPr>
        <w:t>и</w:t>
      </w:r>
      <w:r w:rsidRPr="009E4EEF">
        <w:rPr>
          <w:rFonts w:ascii="Times New Roman" w:eastAsia="Times New Roman" w:hAnsi="Times New Roman" w:cs="Times New Roman"/>
          <w:color w:val="000000"/>
          <w:sz w:val="24"/>
          <w:szCs w:val="24"/>
          <w:lang w:eastAsia="uk-UA"/>
        </w:rPr>
        <w:t xml:space="preserve"> формує</w:t>
      </w:r>
      <w:r w:rsidR="00954816" w:rsidRPr="009E4EEF">
        <w:rPr>
          <w:rFonts w:ascii="Times New Roman" w:eastAsia="Times New Roman" w:hAnsi="Times New Roman" w:cs="Times New Roman"/>
          <w:color w:val="000000"/>
          <w:sz w:val="24"/>
          <w:szCs w:val="24"/>
          <w:lang w:eastAsia="uk-UA"/>
        </w:rPr>
        <w:t>ться</w:t>
      </w:r>
      <w:r w:rsidRPr="009E4EEF">
        <w:rPr>
          <w:rFonts w:ascii="Times New Roman" w:eastAsia="Times New Roman" w:hAnsi="Times New Roman" w:cs="Times New Roman"/>
          <w:color w:val="000000"/>
          <w:sz w:val="24"/>
          <w:szCs w:val="24"/>
          <w:lang w:eastAsia="uk-UA"/>
        </w:rPr>
        <w:t xml:space="preserve"> остаточн</w:t>
      </w:r>
      <w:r w:rsidR="00954816" w:rsidRPr="009E4EEF">
        <w:rPr>
          <w:rFonts w:ascii="Times New Roman" w:eastAsia="Times New Roman" w:hAnsi="Times New Roman" w:cs="Times New Roman"/>
          <w:color w:val="000000"/>
          <w:sz w:val="24"/>
          <w:szCs w:val="24"/>
          <w:lang w:eastAsia="uk-UA"/>
        </w:rPr>
        <w:t>а</w:t>
      </w:r>
      <w:r w:rsidRPr="009E4EEF">
        <w:rPr>
          <w:rFonts w:ascii="Times New Roman" w:eastAsia="Times New Roman" w:hAnsi="Times New Roman" w:cs="Times New Roman"/>
          <w:color w:val="000000"/>
          <w:sz w:val="24"/>
          <w:szCs w:val="24"/>
          <w:lang w:eastAsia="uk-UA"/>
        </w:rPr>
        <w:t xml:space="preserve"> оцінк</w:t>
      </w:r>
      <w:r w:rsidR="00954816" w:rsidRPr="009E4EEF">
        <w:rPr>
          <w:rFonts w:ascii="Times New Roman" w:eastAsia="Times New Roman" w:hAnsi="Times New Roman" w:cs="Times New Roman"/>
          <w:color w:val="000000"/>
          <w:sz w:val="24"/>
          <w:szCs w:val="24"/>
          <w:lang w:eastAsia="uk-UA"/>
        </w:rPr>
        <w:t>а</w:t>
      </w:r>
      <w:r w:rsidRPr="009E4EEF">
        <w:rPr>
          <w:rFonts w:ascii="Times New Roman" w:eastAsia="Times New Roman" w:hAnsi="Times New Roman" w:cs="Times New Roman"/>
          <w:color w:val="000000"/>
          <w:sz w:val="24"/>
          <w:szCs w:val="24"/>
          <w:lang w:eastAsia="uk-UA"/>
        </w:rPr>
        <w:t xml:space="preserve"> кандидата на посаду судді. У</w:t>
      </w:r>
      <w:r w:rsidR="00187A03"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w:t>
      </w:r>
      <w:r w:rsidR="00187A03"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Показники відповідності судді (кандидата на посаду судді) критеріям кваліфікаційного оцінювання досліджуються окремо один від одного та </w:t>
      </w:r>
      <w:r w:rsidR="00187A03"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 xml:space="preserve"> сукупності.</w:t>
      </w:r>
    </w:p>
    <w:p w14:paraId="745FD6A1" w14:textId="77777777" w:rsidR="009F4687" w:rsidRPr="009E4EEF" w:rsidRDefault="009F4687" w:rsidP="009E4EEF">
      <w:pPr>
        <w:numPr>
          <w:ilvl w:val="0"/>
          <w:numId w:val="6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Так, під час співбесіди комісія звернула увагу на таке:</w:t>
      </w:r>
    </w:p>
    <w:p w14:paraId="1BB9CC69" w14:textId="7C64C988" w:rsidR="009F4687" w:rsidRPr="009E4EEF" w:rsidRDefault="009F4687" w:rsidP="009E4EEF">
      <w:pPr>
        <w:pStyle w:val="a4"/>
        <w:numPr>
          <w:ilvl w:val="1"/>
          <w:numId w:val="117"/>
        </w:numPr>
        <w:shd w:val="clear" w:color="auto" w:fill="FFFFFF"/>
        <w:ind w:left="709" w:firstLine="284"/>
        <w:jc w:val="both"/>
        <w:textAlignment w:val="baseline"/>
        <w:rPr>
          <w:color w:val="000000"/>
          <w:lang w:eastAsia="uk-UA"/>
        </w:rPr>
      </w:pPr>
      <w:r w:rsidRPr="009E4EEF">
        <w:rPr>
          <w:color w:val="000000"/>
          <w:lang w:eastAsia="uk-UA"/>
        </w:rPr>
        <w:t xml:space="preserve">У листі кандидата зазначено, що він вміє підлаштовувати стиль комунікації залежно від ситуації </w:t>
      </w:r>
      <w:r w:rsidR="00E46515" w:rsidRPr="009E4EEF">
        <w:rPr>
          <w:color w:val="000000"/>
          <w:lang w:eastAsia="uk-UA"/>
        </w:rPr>
        <w:t>–</w:t>
      </w:r>
      <w:r w:rsidRPr="009E4EEF">
        <w:rPr>
          <w:color w:val="000000"/>
          <w:lang w:eastAsia="uk-UA"/>
        </w:rPr>
        <w:t xml:space="preserve"> судове засідання, офіційна нарада, збори суддів, спілкування щодо формування судової практики. </w:t>
      </w:r>
      <w:r w:rsidR="00E46515" w:rsidRPr="009E4EEF">
        <w:rPr>
          <w:color w:val="000000"/>
          <w:lang w:eastAsia="uk-UA"/>
        </w:rPr>
        <w:t>Як</w:t>
      </w:r>
      <w:r w:rsidRPr="009E4EEF">
        <w:rPr>
          <w:color w:val="000000"/>
          <w:lang w:eastAsia="uk-UA"/>
        </w:rPr>
        <w:t xml:space="preserve"> приклад зміни стилю спілкування кандидат </w:t>
      </w:r>
      <w:r w:rsidR="003C4133" w:rsidRPr="009E4EEF">
        <w:rPr>
          <w:color w:val="000000"/>
          <w:lang w:eastAsia="uk-UA"/>
        </w:rPr>
        <w:t>зазнач</w:t>
      </w:r>
      <w:r w:rsidR="00B55B0C" w:rsidRPr="009E4EEF">
        <w:rPr>
          <w:color w:val="000000"/>
          <w:lang w:eastAsia="uk-UA"/>
        </w:rPr>
        <w:t>ив</w:t>
      </w:r>
      <w:r w:rsidR="003C4133" w:rsidRPr="009E4EEF">
        <w:rPr>
          <w:color w:val="000000"/>
          <w:lang w:eastAsia="uk-UA"/>
        </w:rPr>
        <w:t xml:space="preserve"> лише</w:t>
      </w:r>
      <w:r w:rsidR="00B55B0C" w:rsidRPr="009E4EEF">
        <w:rPr>
          <w:color w:val="000000"/>
          <w:lang w:eastAsia="uk-UA"/>
        </w:rPr>
        <w:t xml:space="preserve"> </w:t>
      </w:r>
      <w:r w:rsidRPr="009E4EEF">
        <w:rPr>
          <w:color w:val="000000"/>
          <w:lang w:eastAsia="uk-UA"/>
        </w:rPr>
        <w:t>відмову від використання</w:t>
      </w:r>
      <w:r w:rsidR="003558B7" w:rsidRPr="009E4EEF">
        <w:rPr>
          <w:color w:val="000000"/>
          <w:lang w:eastAsia="uk-UA"/>
        </w:rPr>
        <w:t xml:space="preserve"> </w:t>
      </w:r>
      <w:r w:rsidRPr="009E4EEF">
        <w:rPr>
          <w:color w:val="000000"/>
          <w:lang w:eastAsia="uk-UA"/>
        </w:rPr>
        <w:t>професійних скорочень (напр., судове засідання</w:t>
      </w:r>
      <w:r w:rsidR="00B55B0C" w:rsidRPr="009E4EEF">
        <w:rPr>
          <w:color w:val="000000"/>
          <w:lang w:eastAsia="uk-UA"/>
        </w:rPr>
        <w:t xml:space="preserve"> </w:t>
      </w:r>
      <w:r w:rsidRPr="009E4EEF">
        <w:rPr>
          <w:color w:val="000000"/>
          <w:lang w:eastAsia="uk-UA"/>
        </w:rPr>
        <w:t>–</w:t>
      </w:r>
      <w:r w:rsidR="00B55B0C" w:rsidRPr="009E4EEF">
        <w:rPr>
          <w:color w:val="000000"/>
          <w:lang w:eastAsia="uk-UA"/>
        </w:rPr>
        <w:t xml:space="preserve"> </w:t>
      </w:r>
      <w:r w:rsidRPr="009E4EEF">
        <w:rPr>
          <w:color w:val="000000"/>
          <w:lang w:eastAsia="uk-UA"/>
        </w:rPr>
        <w:t>с/з) або професійних термінів, а не реальне нала</w:t>
      </w:r>
      <w:r w:rsidR="00AE48B7" w:rsidRPr="009E4EEF">
        <w:rPr>
          <w:color w:val="000000"/>
          <w:lang w:eastAsia="uk-UA"/>
        </w:rPr>
        <w:t>годження</w:t>
      </w:r>
      <w:r w:rsidRPr="009E4EEF">
        <w:rPr>
          <w:color w:val="000000"/>
          <w:lang w:eastAsia="uk-UA"/>
        </w:rPr>
        <w:t xml:space="preserve"> комунікації</w:t>
      </w:r>
      <w:r w:rsidR="00AE48B7" w:rsidRPr="009E4EEF">
        <w:rPr>
          <w:color w:val="000000"/>
          <w:lang w:eastAsia="uk-UA"/>
        </w:rPr>
        <w:t xml:space="preserve"> залежно</w:t>
      </w:r>
      <w:r w:rsidRPr="009E4EEF">
        <w:rPr>
          <w:color w:val="000000"/>
          <w:lang w:eastAsia="uk-UA"/>
        </w:rPr>
        <w:t xml:space="preserve"> </w:t>
      </w:r>
      <w:r w:rsidR="00AE48B7" w:rsidRPr="009E4EEF">
        <w:rPr>
          <w:color w:val="000000"/>
          <w:lang w:eastAsia="uk-UA"/>
        </w:rPr>
        <w:t>в</w:t>
      </w:r>
      <w:r w:rsidRPr="009E4EEF">
        <w:rPr>
          <w:color w:val="000000"/>
          <w:lang w:eastAsia="uk-UA"/>
        </w:rPr>
        <w:t>ід емоційн</w:t>
      </w:r>
      <w:r w:rsidR="00AE48B7" w:rsidRPr="009E4EEF">
        <w:rPr>
          <w:color w:val="000000"/>
          <w:lang w:eastAsia="uk-UA"/>
        </w:rPr>
        <w:t>ого</w:t>
      </w:r>
      <w:r w:rsidRPr="009E4EEF">
        <w:rPr>
          <w:color w:val="000000"/>
          <w:lang w:eastAsia="uk-UA"/>
        </w:rPr>
        <w:t xml:space="preserve"> стан</w:t>
      </w:r>
      <w:r w:rsidR="006B015A" w:rsidRPr="009E4EEF">
        <w:rPr>
          <w:color w:val="000000"/>
          <w:lang w:eastAsia="uk-UA"/>
        </w:rPr>
        <w:t>у. Він не продемонстрував належного рівня</w:t>
      </w:r>
      <w:r w:rsidRPr="009E4EEF">
        <w:rPr>
          <w:color w:val="000000"/>
          <w:lang w:eastAsia="uk-UA"/>
        </w:rPr>
        <w:t xml:space="preserve"> обізнаності </w:t>
      </w:r>
      <w:r w:rsidR="004231F5" w:rsidRPr="009E4EEF">
        <w:rPr>
          <w:color w:val="000000"/>
          <w:lang w:eastAsia="uk-UA"/>
        </w:rPr>
        <w:t xml:space="preserve">у вирішенні </w:t>
      </w:r>
      <w:r w:rsidRPr="009E4EEF">
        <w:rPr>
          <w:color w:val="000000"/>
          <w:lang w:eastAsia="uk-UA"/>
        </w:rPr>
        <w:t>конфліктн</w:t>
      </w:r>
      <w:r w:rsidR="004231F5" w:rsidRPr="009E4EEF">
        <w:rPr>
          <w:color w:val="000000"/>
          <w:lang w:eastAsia="uk-UA"/>
        </w:rPr>
        <w:t>их ситуацій</w:t>
      </w:r>
      <w:r w:rsidR="003558B7" w:rsidRPr="009E4EEF">
        <w:rPr>
          <w:color w:val="000000"/>
          <w:lang w:eastAsia="uk-UA"/>
        </w:rPr>
        <w:t>.</w:t>
      </w:r>
    </w:p>
    <w:p w14:paraId="41E39D9A" w14:textId="35BD3DF0" w:rsidR="009F4687" w:rsidRPr="009E4EEF" w:rsidRDefault="009F4687" w:rsidP="009E4EEF">
      <w:pPr>
        <w:pStyle w:val="a4"/>
        <w:numPr>
          <w:ilvl w:val="1"/>
          <w:numId w:val="117"/>
        </w:numPr>
        <w:shd w:val="clear" w:color="auto" w:fill="FFFFFF"/>
        <w:ind w:left="709" w:firstLine="284"/>
        <w:jc w:val="both"/>
        <w:textAlignment w:val="baseline"/>
        <w:rPr>
          <w:color w:val="000000"/>
          <w:lang w:eastAsia="uk-UA"/>
        </w:rPr>
      </w:pPr>
      <w:r w:rsidRPr="009E4EEF">
        <w:rPr>
          <w:color w:val="000000"/>
          <w:lang w:eastAsia="uk-UA"/>
        </w:rPr>
        <w:t>Стосовно показника ефективної взаємодії кандидат</w:t>
      </w:r>
      <w:r w:rsidR="00407960" w:rsidRPr="009E4EEF">
        <w:rPr>
          <w:color w:val="000000"/>
          <w:lang w:eastAsia="uk-UA"/>
        </w:rPr>
        <w:t xml:space="preserve"> указав</w:t>
      </w:r>
      <w:r w:rsidRPr="009E4EEF">
        <w:rPr>
          <w:color w:val="000000"/>
          <w:lang w:eastAsia="uk-UA"/>
        </w:rPr>
        <w:t>, що він в судових засіданнях слідкує за недопущенням проявів неповаги до людини, в тому числі за ознаками р</w:t>
      </w:r>
      <w:r w:rsidR="00F92D21" w:rsidRPr="009E4EEF">
        <w:rPr>
          <w:color w:val="000000"/>
          <w:lang w:eastAsia="uk-UA"/>
        </w:rPr>
        <w:t>а</w:t>
      </w:r>
      <w:r w:rsidRPr="009E4EEF">
        <w:rPr>
          <w:color w:val="000000"/>
          <w:lang w:eastAsia="uk-UA"/>
        </w:rPr>
        <w:t>си, статі, національності, релігії, політичних поглядів, соціально</w:t>
      </w:r>
      <w:r w:rsidR="00F92D21" w:rsidRPr="009E4EEF">
        <w:rPr>
          <w:color w:val="000000"/>
          <w:lang w:eastAsia="uk-UA"/>
        </w:rPr>
        <w:t>-</w:t>
      </w:r>
      <w:r w:rsidRPr="009E4EEF">
        <w:rPr>
          <w:color w:val="000000"/>
          <w:lang w:eastAsia="uk-UA"/>
        </w:rPr>
        <w:t xml:space="preserve">економічного становища, фізичних вад, проявів агресивних дій від сторін. Єдиний епізод, що наводився, </w:t>
      </w:r>
      <w:r w:rsidR="003558B7" w:rsidRPr="009E4EEF">
        <w:rPr>
          <w:color w:val="000000"/>
          <w:lang w:eastAsia="uk-UA"/>
        </w:rPr>
        <w:t>–</w:t>
      </w:r>
      <w:r w:rsidRPr="009E4EEF">
        <w:rPr>
          <w:color w:val="000000"/>
          <w:lang w:eastAsia="uk-UA"/>
        </w:rPr>
        <w:t xml:space="preserve"> </w:t>
      </w:r>
      <w:r w:rsidR="00407960" w:rsidRPr="009E4EEF">
        <w:rPr>
          <w:color w:val="000000"/>
          <w:lang w:eastAsia="uk-UA"/>
        </w:rPr>
        <w:t>зневажлива</w:t>
      </w:r>
      <w:r w:rsidRPr="009E4EEF">
        <w:rPr>
          <w:color w:val="000000"/>
          <w:lang w:eastAsia="uk-UA"/>
        </w:rPr>
        <w:t xml:space="preserve"> репліка про </w:t>
      </w:r>
      <w:r w:rsidR="00F92D21" w:rsidRPr="009E4EEF">
        <w:rPr>
          <w:color w:val="000000"/>
          <w:lang w:eastAsia="uk-UA"/>
        </w:rPr>
        <w:t>«</w:t>
      </w:r>
      <w:r w:rsidRPr="009E4EEF">
        <w:rPr>
          <w:color w:val="000000"/>
          <w:lang w:eastAsia="uk-UA"/>
        </w:rPr>
        <w:t>жінку</w:t>
      </w:r>
      <w:r w:rsidR="00F92D21" w:rsidRPr="009E4EEF">
        <w:rPr>
          <w:color w:val="000000"/>
          <w:lang w:eastAsia="uk-UA"/>
        </w:rPr>
        <w:t>»</w:t>
      </w:r>
      <w:r w:rsidRPr="009E4EEF">
        <w:rPr>
          <w:color w:val="000000"/>
          <w:lang w:eastAsia="uk-UA"/>
        </w:rPr>
        <w:t xml:space="preserve"> в</w:t>
      </w:r>
      <w:r w:rsidR="00407960" w:rsidRPr="009E4EEF">
        <w:rPr>
          <w:color w:val="000000"/>
          <w:lang w:eastAsia="uk-UA"/>
        </w:rPr>
        <w:t>ід уч</w:t>
      </w:r>
      <w:r w:rsidRPr="009E4EEF">
        <w:rPr>
          <w:color w:val="000000"/>
          <w:lang w:eastAsia="uk-UA"/>
        </w:rPr>
        <w:t>асника справи. На переконання Комісії</w:t>
      </w:r>
      <w:r w:rsidR="00407960" w:rsidRPr="009E4EEF">
        <w:rPr>
          <w:color w:val="000000"/>
          <w:lang w:eastAsia="uk-UA"/>
        </w:rPr>
        <w:t>,</w:t>
      </w:r>
      <w:r w:rsidRPr="009E4EEF">
        <w:rPr>
          <w:color w:val="000000"/>
          <w:lang w:eastAsia="uk-UA"/>
        </w:rPr>
        <w:t xml:space="preserve"> це ізольований випадок, не репрезентативний для оцін</w:t>
      </w:r>
      <w:r w:rsidR="002E0485" w:rsidRPr="009E4EEF">
        <w:rPr>
          <w:color w:val="000000"/>
          <w:lang w:eastAsia="uk-UA"/>
        </w:rPr>
        <w:t>ювання</w:t>
      </w:r>
      <w:r w:rsidRPr="009E4EEF">
        <w:rPr>
          <w:color w:val="000000"/>
          <w:lang w:eastAsia="uk-UA"/>
        </w:rPr>
        <w:t xml:space="preserve"> навички ефективної взаємодії.</w:t>
      </w:r>
    </w:p>
    <w:p w14:paraId="54220565" w14:textId="37FDFA8D" w:rsidR="009F4687" w:rsidRPr="009E4EEF" w:rsidRDefault="009F4687" w:rsidP="009E4EEF">
      <w:pPr>
        <w:numPr>
          <w:ilvl w:val="1"/>
          <w:numId w:val="117"/>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Більш</w:t>
      </w:r>
      <w:r w:rsidR="002E0485" w:rsidRPr="009E4EEF">
        <w:rPr>
          <w:rFonts w:ascii="Times New Roman" w:eastAsia="Times New Roman" w:hAnsi="Times New Roman" w:cs="Times New Roman"/>
          <w:color w:val="000000"/>
          <w:sz w:val="24"/>
          <w:szCs w:val="24"/>
          <w:lang w:eastAsia="uk-UA"/>
        </w:rPr>
        <w:t>е</w:t>
      </w:r>
      <w:r w:rsidRPr="009E4EEF">
        <w:rPr>
          <w:rFonts w:ascii="Times New Roman" w:eastAsia="Times New Roman" w:hAnsi="Times New Roman" w:cs="Times New Roman"/>
          <w:color w:val="000000"/>
          <w:sz w:val="24"/>
          <w:szCs w:val="24"/>
          <w:lang w:eastAsia="uk-UA"/>
        </w:rPr>
        <w:t xml:space="preserve"> того, кандидат не чітко відрізняв поняття</w:t>
      </w:r>
      <w:r w:rsidR="00F92D21"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ефективна комунікація</w:t>
      </w:r>
      <w:r w:rsidR="00F92D2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від </w:t>
      </w:r>
      <w:r w:rsidR="00F92D2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ефективної взаємодії</w:t>
      </w:r>
      <w:r w:rsidR="00F92D2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подаючи їх як результат та інструмент, але без прикладного змісту чи аналітичної глибини. </w:t>
      </w:r>
    </w:p>
    <w:p w14:paraId="3835D579" w14:textId="77777777" w:rsidR="009F4687" w:rsidRPr="009E4EEF" w:rsidRDefault="009F4687" w:rsidP="009E4EEF">
      <w:pPr>
        <w:numPr>
          <w:ilvl w:val="0"/>
          <w:numId w:val="6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044B5E60" w14:textId="0625CF44" w:rsidR="009F4687" w:rsidRPr="009E4EEF" w:rsidRDefault="009F4687" w:rsidP="009E4EEF">
      <w:pPr>
        <w:numPr>
          <w:ilvl w:val="0"/>
          <w:numId w:val="6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Надані </w:t>
      </w:r>
      <w:proofErr w:type="spellStart"/>
      <w:r w:rsidRPr="009E4EEF">
        <w:rPr>
          <w:rFonts w:ascii="Times New Roman" w:eastAsia="Times New Roman" w:hAnsi="Times New Roman" w:cs="Times New Roman"/>
          <w:color w:val="000000"/>
          <w:sz w:val="24"/>
          <w:szCs w:val="24"/>
          <w:lang w:eastAsia="uk-UA"/>
        </w:rPr>
        <w:t>Бабаєвим</w:t>
      </w:r>
      <w:proofErr w:type="spellEnd"/>
      <w:r w:rsidRPr="009E4EEF">
        <w:rPr>
          <w:rFonts w:ascii="Times New Roman" w:eastAsia="Times New Roman" w:hAnsi="Times New Roman" w:cs="Times New Roman"/>
          <w:color w:val="000000"/>
          <w:sz w:val="24"/>
          <w:szCs w:val="24"/>
          <w:lang w:eastAsia="uk-UA"/>
        </w:rPr>
        <w:t xml:space="preserve"> А.І. документи, а також його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p w14:paraId="738D17A0" w14:textId="77777777" w:rsidR="006055AF" w:rsidRPr="009E4EEF" w:rsidRDefault="006055AF"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tbl>
      <w:tblPr>
        <w:tblW w:w="9804" w:type="dxa"/>
        <w:tblCellMar>
          <w:top w:w="15" w:type="dxa"/>
          <w:left w:w="15" w:type="dxa"/>
          <w:bottom w:w="15" w:type="dxa"/>
          <w:right w:w="15" w:type="dxa"/>
        </w:tblCellMar>
        <w:tblLook w:val="04A0" w:firstRow="1" w:lastRow="0" w:firstColumn="1" w:lastColumn="0" w:noHBand="0" w:noVBand="1"/>
      </w:tblPr>
      <w:tblGrid>
        <w:gridCol w:w="2053"/>
        <w:gridCol w:w="1728"/>
        <w:gridCol w:w="515"/>
        <w:gridCol w:w="382"/>
        <w:gridCol w:w="382"/>
        <w:gridCol w:w="382"/>
        <w:gridCol w:w="382"/>
        <w:gridCol w:w="382"/>
        <w:gridCol w:w="2333"/>
        <w:gridCol w:w="1229"/>
        <w:gridCol w:w="36"/>
      </w:tblGrid>
      <w:tr w:rsidR="009F4687" w:rsidRPr="009E4EEF" w14:paraId="31449B6A" w14:textId="77777777" w:rsidTr="001A4E40">
        <w:trPr>
          <w:gridAfter w:val="1"/>
          <w:trHeight w:val="315"/>
        </w:trPr>
        <w:tc>
          <w:tcPr>
            <w:tcW w:w="0" w:type="auto"/>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hideMark/>
          </w:tcPr>
          <w:p w14:paraId="5A702D10"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Критерій</w:t>
            </w:r>
          </w:p>
        </w:tc>
        <w:tc>
          <w:tcPr>
            <w:tcW w:w="0" w:type="auto"/>
            <w:tcBorders>
              <w:top w:val="single" w:sz="18" w:space="0" w:color="000000"/>
              <w:left w:val="single" w:sz="6" w:space="0" w:color="000000"/>
              <w:bottom w:val="single" w:sz="18" w:space="0" w:color="000000"/>
              <w:right w:val="single" w:sz="6" w:space="0" w:color="000000"/>
            </w:tcBorders>
            <w:shd w:val="clear" w:color="auto" w:fill="F2F2F2"/>
            <w:tcMar>
              <w:top w:w="30" w:type="dxa"/>
              <w:left w:w="45" w:type="dxa"/>
              <w:bottom w:w="30" w:type="dxa"/>
              <w:right w:w="45" w:type="dxa"/>
            </w:tcMar>
            <w:vAlign w:val="center"/>
            <w:hideMark/>
          </w:tcPr>
          <w:p w14:paraId="1C7DB4C1"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Показник</w:t>
            </w:r>
          </w:p>
        </w:tc>
        <w:tc>
          <w:tcPr>
            <w:tcW w:w="2884" w:type="dxa"/>
            <w:gridSpan w:val="6"/>
            <w:tcBorders>
              <w:top w:val="single" w:sz="18" w:space="0" w:color="000000"/>
              <w:left w:val="single" w:sz="6" w:space="0" w:color="000000"/>
              <w:bottom w:val="single" w:sz="18" w:space="0" w:color="000000"/>
              <w:right w:val="single" w:sz="6" w:space="0" w:color="000000"/>
            </w:tcBorders>
            <w:shd w:val="clear" w:color="auto" w:fill="F2F2F2"/>
            <w:tcMar>
              <w:top w:w="30" w:type="dxa"/>
              <w:left w:w="45" w:type="dxa"/>
              <w:bottom w:w="30" w:type="dxa"/>
              <w:right w:w="45" w:type="dxa"/>
            </w:tcMar>
            <w:vAlign w:val="center"/>
            <w:hideMark/>
          </w:tcPr>
          <w:p w14:paraId="1D8BFFD8" w14:textId="28E19499"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Бали</w:t>
            </w:r>
            <w:r w:rsidR="002E0485"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виставлені членами Комісії за показниками</w:t>
            </w:r>
          </w:p>
        </w:tc>
        <w:tc>
          <w:tcPr>
            <w:tcW w:w="0" w:type="auto"/>
            <w:tcBorders>
              <w:top w:val="single" w:sz="18" w:space="0" w:color="000000"/>
              <w:left w:val="single" w:sz="6" w:space="0" w:color="000000"/>
              <w:bottom w:val="single" w:sz="18" w:space="0" w:color="000000"/>
              <w:right w:val="single" w:sz="6" w:space="0" w:color="000000"/>
            </w:tcBorders>
            <w:shd w:val="clear" w:color="auto" w:fill="F2F2F2"/>
            <w:tcMar>
              <w:top w:w="30" w:type="dxa"/>
              <w:left w:w="45" w:type="dxa"/>
              <w:bottom w:w="30" w:type="dxa"/>
              <w:right w:w="45" w:type="dxa"/>
            </w:tcMar>
            <w:vAlign w:val="center"/>
            <w:hideMark/>
          </w:tcPr>
          <w:p w14:paraId="1EE2CFFF"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Розрахований за п. 5.7. середній бал</w:t>
            </w:r>
          </w:p>
        </w:tc>
        <w:tc>
          <w:tcPr>
            <w:tcW w:w="0" w:type="auto"/>
            <w:tcBorders>
              <w:top w:val="single" w:sz="18" w:space="0" w:color="000000"/>
              <w:left w:val="single" w:sz="6" w:space="0" w:color="000000"/>
              <w:bottom w:val="single" w:sz="18" w:space="0" w:color="000000"/>
              <w:right w:val="single" w:sz="18" w:space="0" w:color="000000"/>
            </w:tcBorders>
            <w:shd w:val="clear" w:color="auto" w:fill="F2F2F2"/>
            <w:tcMar>
              <w:top w:w="30" w:type="dxa"/>
              <w:left w:w="45" w:type="dxa"/>
              <w:bottom w:w="30" w:type="dxa"/>
              <w:right w:w="45" w:type="dxa"/>
            </w:tcMar>
            <w:vAlign w:val="center"/>
            <w:hideMark/>
          </w:tcPr>
          <w:p w14:paraId="7E522AE5"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Бал за критерій</w:t>
            </w:r>
          </w:p>
        </w:tc>
      </w:tr>
      <w:tr w:rsidR="009F4687" w:rsidRPr="009E4EEF" w14:paraId="529C6DA5" w14:textId="77777777" w:rsidTr="001A4E40">
        <w:trPr>
          <w:gridAfter w:val="1"/>
          <w:trHeight w:val="476"/>
        </w:trPr>
        <w:tc>
          <w:tcPr>
            <w:tcW w:w="0" w:type="auto"/>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00AEDA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соціальна компетентність</w:t>
            </w:r>
          </w:p>
        </w:tc>
        <w:tc>
          <w:tcPr>
            <w:tcW w:w="0" w:type="auto"/>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2E4CDA38"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ефективна комунікація</w:t>
            </w:r>
          </w:p>
        </w:tc>
        <w:tc>
          <w:tcPr>
            <w:tcW w:w="359" w:type="dxa"/>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555C5E0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5390EC0B"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w:t>
            </w:r>
          </w:p>
        </w:tc>
        <w:tc>
          <w:tcPr>
            <w:tcW w:w="0" w:type="auto"/>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79BC3B3C"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8</w:t>
            </w:r>
          </w:p>
        </w:tc>
        <w:tc>
          <w:tcPr>
            <w:tcW w:w="0" w:type="auto"/>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45395373"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w:t>
            </w:r>
          </w:p>
        </w:tc>
        <w:tc>
          <w:tcPr>
            <w:tcW w:w="0" w:type="auto"/>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434336EC"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6</w:t>
            </w:r>
          </w:p>
        </w:tc>
        <w:tc>
          <w:tcPr>
            <w:tcW w:w="0" w:type="auto"/>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049ED4E7"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w:t>
            </w:r>
          </w:p>
        </w:tc>
        <w:tc>
          <w:tcPr>
            <w:tcW w:w="0" w:type="auto"/>
            <w:vMerge w:val="restart"/>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5C5A5B3D"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w:t>
            </w:r>
          </w:p>
        </w:tc>
        <w:tc>
          <w:tcPr>
            <w:tcW w:w="0" w:type="auto"/>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hideMark/>
          </w:tcPr>
          <w:p w14:paraId="116B0B47"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35</w:t>
            </w:r>
          </w:p>
        </w:tc>
      </w:tr>
      <w:tr w:rsidR="009F4687" w:rsidRPr="009E4EEF" w14:paraId="448FC718"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56273E63"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3A9147F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18" w:space="0" w:color="000000"/>
              <w:left w:val="single" w:sz="6" w:space="0" w:color="000000"/>
              <w:bottom w:val="single" w:sz="18" w:space="0" w:color="000000"/>
              <w:right w:val="single" w:sz="6" w:space="0" w:color="000000"/>
            </w:tcBorders>
            <w:vAlign w:val="center"/>
            <w:hideMark/>
          </w:tcPr>
          <w:p w14:paraId="72819235"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6FD2FB2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0BFA09C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1255952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784695D5"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46EF08D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5B32C85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463CA033"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1EDAA24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2350D574"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5AD5CCF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57260DF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18" w:space="0" w:color="000000"/>
              <w:left w:val="single" w:sz="6" w:space="0" w:color="000000"/>
              <w:bottom w:val="single" w:sz="18" w:space="0" w:color="000000"/>
              <w:right w:val="single" w:sz="6" w:space="0" w:color="000000"/>
            </w:tcBorders>
            <w:vAlign w:val="center"/>
            <w:hideMark/>
          </w:tcPr>
          <w:p w14:paraId="69F32AA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30B7312A"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7EE5E77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54ED4D1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2EB45B0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5815014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38DF8DB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734C556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527666C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70FA813E"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6F1986B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4152614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18" w:space="0" w:color="000000"/>
              <w:left w:val="single" w:sz="6" w:space="0" w:color="000000"/>
              <w:bottom w:val="single" w:sz="18" w:space="0" w:color="000000"/>
              <w:right w:val="single" w:sz="6" w:space="0" w:color="000000"/>
            </w:tcBorders>
            <w:vAlign w:val="center"/>
            <w:hideMark/>
          </w:tcPr>
          <w:p w14:paraId="106A438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57AC382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04F301E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799D4E5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22D4364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423227D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192E4C5A"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2033E0D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0145E1F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07D4C083"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553D106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22ABF00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18" w:space="0" w:color="000000"/>
              <w:left w:val="single" w:sz="6" w:space="0" w:color="000000"/>
              <w:bottom w:val="single" w:sz="18" w:space="0" w:color="000000"/>
              <w:right w:val="single" w:sz="6" w:space="0" w:color="000000"/>
            </w:tcBorders>
            <w:vAlign w:val="center"/>
            <w:hideMark/>
          </w:tcPr>
          <w:p w14:paraId="3923180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125C965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05002F0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73189B1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1203D8F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38A75A5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6" w:space="0" w:color="000000"/>
            </w:tcBorders>
            <w:vAlign w:val="center"/>
            <w:hideMark/>
          </w:tcPr>
          <w:p w14:paraId="07428B7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1EEBFF83"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5EB6046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4738B3A4"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07EA1F2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BBB0D64"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ефективна взаємодія</w:t>
            </w:r>
          </w:p>
        </w:tc>
        <w:tc>
          <w:tcPr>
            <w:tcW w:w="359"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1FD7B7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476384E"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5AEB65"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053A1C"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8933BC3"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368576C"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EE8AD3"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7,67</w:t>
            </w: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6E508A2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tcBorders>
            <w:vAlign w:val="center"/>
            <w:hideMark/>
          </w:tcPr>
          <w:p w14:paraId="22D101A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01EA84A6"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655063D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3BB1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6" w:space="0" w:color="000000"/>
              <w:left w:val="single" w:sz="6" w:space="0" w:color="000000"/>
              <w:bottom w:val="single" w:sz="6" w:space="0" w:color="000000"/>
              <w:right w:val="single" w:sz="6" w:space="0" w:color="000000"/>
            </w:tcBorders>
            <w:vAlign w:val="center"/>
            <w:hideMark/>
          </w:tcPr>
          <w:p w14:paraId="07FE8A0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02DCE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E07A8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C88DB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F2748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6E772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DEE27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1AA30FB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7C9F2F6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51A5DE31"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1CEF7C1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78698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6" w:space="0" w:color="000000"/>
              <w:left w:val="single" w:sz="6" w:space="0" w:color="000000"/>
              <w:bottom w:val="single" w:sz="6" w:space="0" w:color="000000"/>
              <w:right w:val="single" w:sz="6" w:space="0" w:color="000000"/>
            </w:tcBorders>
            <w:vAlign w:val="center"/>
            <w:hideMark/>
          </w:tcPr>
          <w:p w14:paraId="687460F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B8BB2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F15FD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F6F20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AEF90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94C50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799F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56BBC08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7BD5BC4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131BC2DC"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6349E05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42FF140"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стійкість мотивації</w:t>
            </w:r>
          </w:p>
        </w:tc>
        <w:tc>
          <w:tcPr>
            <w:tcW w:w="359"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46EBF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D6E953"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CC1EE65"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6E358FC"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D9692D"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1A4D4F0"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B89E31E"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9,67</w:t>
            </w: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43DAA6E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tcBorders>
            <w:vAlign w:val="center"/>
            <w:hideMark/>
          </w:tcPr>
          <w:p w14:paraId="3641BDD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5F434789"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2B0F33C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4272E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6" w:space="0" w:color="000000"/>
              <w:left w:val="single" w:sz="6" w:space="0" w:color="000000"/>
              <w:bottom w:val="single" w:sz="6" w:space="0" w:color="000000"/>
              <w:right w:val="single" w:sz="6" w:space="0" w:color="000000"/>
            </w:tcBorders>
            <w:vAlign w:val="center"/>
            <w:hideMark/>
          </w:tcPr>
          <w:p w14:paraId="6D3EA2F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ECD8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1F735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99568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9A600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2A94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062173"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713E2C3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79341CD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2B7B4B9D"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331C2E1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21ABC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6" w:space="0" w:color="000000"/>
              <w:left w:val="single" w:sz="6" w:space="0" w:color="000000"/>
              <w:bottom w:val="single" w:sz="6" w:space="0" w:color="000000"/>
              <w:right w:val="single" w:sz="6" w:space="0" w:color="000000"/>
            </w:tcBorders>
            <w:vAlign w:val="center"/>
            <w:hideMark/>
          </w:tcPr>
          <w:p w14:paraId="35C7052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1E3EB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58517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390B8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D269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3D7CB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E7465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3483203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2578EF2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63519E67"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34109277"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CF9D3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6" w:space="0" w:color="000000"/>
              <w:left w:val="single" w:sz="6" w:space="0" w:color="000000"/>
              <w:bottom w:val="single" w:sz="6" w:space="0" w:color="000000"/>
              <w:right w:val="single" w:sz="6" w:space="0" w:color="000000"/>
            </w:tcBorders>
            <w:vAlign w:val="center"/>
            <w:hideMark/>
          </w:tcPr>
          <w:p w14:paraId="09CE6953"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AB46D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C91D4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7482E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CEE9E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EF304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1C284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0342EC4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bottom w:val="single" w:sz="6" w:space="0" w:color="000000"/>
              <w:right w:val="single" w:sz="6" w:space="0" w:color="000000"/>
            </w:tcBorders>
            <w:vAlign w:val="center"/>
            <w:hideMark/>
          </w:tcPr>
          <w:p w14:paraId="396E9B8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62CBD8F6" w14:textId="77777777" w:rsidTr="001A4E40">
        <w:trPr>
          <w:trHeight w:val="315"/>
        </w:trPr>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4D36B8C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475B5839"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емоційна стійкість</w:t>
            </w:r>
          </w:p>
        </w:tc>
        <w:tc>
          <w:tcPr>
            <w:tcW w:w="359" w:type="dxa"/>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165469D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3F6C01A4"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w:t>
            </w:r>
          </w:p>
        </w:tc>
        <w:tc>
          <w:tcPr>
            <w:tcW w:w="0" w:type="auto"/>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2D87C972"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12</w:t>
            </w:r>
          </w:p>
        </w:tc>
        <w:tc>
          <w:tcPr>
            <w:tcW w:w="0" w:type="auto"/>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4D47DE39"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w:t>
            </w:r>
          </w:p>
        </w:tc>
        <w:tc>
          <w:tcPr>
            <w:tcW w:w="0" w:type="auto"/>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5925194E"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12</w:t>
            </w:r>
          </w:p>
        </w:tc>
        <w:tc>
          <w:tcPr>
            <w:tcW w:w="0" w:type="auto"/>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7F48B50D"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w:t>
            </w:r>
          </w:p>
        </w:tc>
        <w:tc>
          <w:tcPr>
            <w:tcW w:w="0" w:type="auto"/>
            <w:vMerge w:val="restart"/>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hideMark/>
          </w:tcPr>
          <w:p w14:paraId="2356AD42"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10,67</w:t>
            </w: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4F41886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6" w:space="0" w:color="000000"/>
              <w:left w:val="single" w:sz="18" w:space="0" w:color="000000"/>
            </w:tcBorders>
            <w:vAlign w:val="center"/>
            <w:hideMark/>
          </w:tcPr>
          <w:p w14:paraId="201BBA6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06B43F96" w14:textId="77777777" w:rsidTr="001A4E40">
        <w:tc>
          <w:tcPr>
            <w:tcW w:w="0" w:type="auto"/>
            <w:vMerge/>
            <w:tcBorders>
              <w:top w:val="single" w:sz="18" w:space="0" w:color="000000"/>
              <w:left w:val="single" w:sz="18" w:space="0" w:color="000000"/>
              <w:bottom w:val="single" w:sz="18" w:space="0" w:color="000000"/>
              <w:right w:val="single" w:sz="6" w:space="0" w:color="000000"/>
            </w:tcBorders>
            <w:vAlign w:val="center"/>
            <w:hideMark/>
          </w:tcPr>
          <w:p w14:paraId="414F4EC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18" w:space="0" w:color="000000"/>
              <w:right w:val="single" w:sz="6" w:space="0" w:color="000000"/>
            </w:tcBorders>
            <w:vAlign w:val="center"/>
            <w:hideMark/>
          </w:tcPr>
          <w:p w14:paraId="1A8CFF7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359" w:type="dxa"/>
            <w:vMerge/>
            <w:tcBorders>
              <w:top w:val="single" w:sz="6" w:space="0" w:color="000000"/>
              <w:left w:val="single" w:sz="6" w:space="0" w:color="000000"/>
              <w:bottom w:val="single" w:sz="18" w:space="0" w:color="000000"/>
              <w:right w:val="single" w:sz="6" w:space="0" w:color="000000"/>
            </w:tcBorders>
            <w:vAlign w:val="center"/>
            <w:hideMark/>
          </w:tcPr>
          <w:p w14:paraId="2E31E275"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18" w:space="0" w:color="000000"/>
              <w:right w:val="single" w:sz="6" w:space="0" w:color="000000"/>
            </w:tcBorders>
            <w:vAlign w:val="center"/>
            <w:hideMark/>
          </w:tcPr>
          <w:p w14:paraId="4AC97500"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18" w:space="0" w:color="000000"/>
              <w:right w:val="single" w:sz="6" w:space="0" w:color="000000"/>
            </w:tcBorders>
            <w:vAlign w:val="center"/>
            <w:hideMark/>
          </w:tcPr>
          <w:p w14:paraId="2D9A5A5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18" w:space="0" w:color="000000"/>
              <w:right w:val="single" w:sz="6" w:space="0" w:color="000000"/>
            </w:tcBorders>
            <w:vAlign w:val="center"/>
            <w:hideMark/>
          </w:tcPr>
          <w:p w14:paraId="15879CA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18" w:space="0" w:color="000000"/>
              <w:right w:val="single" w:sz="6" w:space="0" w:color="000000"/>
            </w:tcBorders>
            <w:vAlign w:val="center"/>
            <w:hideMark/>
          </w:tcPr>
          <w:p w14:paraId="0E92B573"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18" w:space="0" w:color="000000"/>
              <w:right w:val="single" w:sz="6" w:space="0" w:color="000000"/>
            </w:tcBorders>
            <w:vAlign w:val="center"/>
            <w:hideMark/>
          </w:tcPr>
          <w:p w14:paraId="2D47C86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18" w:space="0" w:color="000000"/>
              <w:right w:val="single" w:sz="6" w:space="0" w:color="000000"/>
            </w:tcBorders>
            <w:vAlign w:val="center"/>
            <w:hideMark/>
          </w:tcPr>
          <w:p w14:paraId="35DF15A5"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6" w:space="0" w:color="000000"/>
              <w:bottom w:val="single" w:sz="18" w:space="0" w:color="000000"/>
              <w:right w:val="single" w:sz="18" w:space="0" w:color="000000"/>
            </w:tcBorders>
            <w:vAlign w:val="center"/>
            <w:hideMark/>
          </w:tcPr>
          <w:p w14:paraId="4A4E1DB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left w:val="single" w:sz="18" w:space="0" w:color="000000"/>
            </w:tcBorders>
            <w:vAlign w:val="center"/>
            <w:hideMark/>
          </w:tcPr>
          <w:p w14:paraId="31D6562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bl>
    <w:p w14:paraId="4BF8050E" w14:textId="6FC72A1A"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04E6C055" w14:textId="77777777" w:rsidR="009F4687" w:rsidRPr="009E4EEF" w:rsidRDefault="009F4687" w:rsidP="009E4EEF">
      <w:pPr>
        <w:numPr>
          <w:ilvl w:val="0"/>
          <w:numId w:val="6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Отже, Комісія вважає, що кандидат під час співбесіді не зміг продемонструвати належний рівень соціальної компетентності.</w:t>
      </w:r>
    </w:p>
    <w:p w14:paraId="236D32FB" w14:textId="2A88254A" w:rsidR="009F4687" w:rsidRPr="009E4EEF" w:rsidRDefault="00D44DDD" w:rsidP="009E4EEF">
      <w:pPr>
        <w:numPr>
          <w:ilvl w:val="0"/>
          <w:numId w:val="6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Отже</w:t>
      </w:r>
      <w:r w:rsidR="009F4687" w:rsidRPr="009E4EEF">
        <w:rPr>
          <w:rFonts w:ascii="Times New Roman" w:eastAsia="Times New Roman" w:hAnsi="Times New Roman" w:cs="Times New Roman"/>
          <w:color w:val="000000"/>
          <w:sz w:val="24"/>
          <w:szCs w:val="24"/>
          <w:lang w:eastAsia="uk-UA"/>
        </w:rPr>
        <w:t>, за результатами дослідження досьє, письмових пояснень та співбесіди з кандидатом, а також з урахуванням індивідуальних оцінок членів Комісії сумарний бал, отриманий за цим критерієм</w:t>
      </w:r>
      <w:r w:rsidRPr="009E4EEF">
        <w:rPr>
          <w:rFonts w:ascii="Times New Roman" w:eastAsia="Times New Roman" w:hAnsi="Times New Roman" w:cs="Times New Roman"/>
          <w:color w:val="000000"/>
          <w:sz w:val="24"/>
          <w:szCs w:val="24"/>
          <w:lang w:eastAsia="uk-UA"/>
        </w:rPr>
        <w:t>,</w:t>
      </w:r>
      <w:r w:rsidR="009F4687" w:rsidRPr="009E4EEF">
        <w:rPr>
          <w:rFonts w:ascii="Times New Roman" w:eastAsia="Times New Roman" w:hAnsi="Times New Roman" w:cs="Times New Roman"/>
          <w:color w:val="000000"/>
          <w:sz w:val="24"/>
          <w:szCs w:val="24"/>
          <w:lang w:eastAsia="uk-UA"/>
        </w:rPr>
        <w:t xml:space="preserve"> становить 35 бал</w:t>
      </w:r>
      <w:r w:rsidR="00254EFF" w:rsidRPr="009E4EEF">
        <w:rPr>
          <w:rFonts w:ascii="Times New Roman" w:eastAsia="Times New Roman" w:hAnsi="Times New Roman" w:cs="Times New Roman"/>
          <w:color w:val="000000"/>
          <w:sz w:val="24"/>
          <w:szCs w:val="24"/>
          <w:lang w:eastAsia="uk-UA"/>
        </w:rPr>
        <w:t>ів</w:t>
      </w:r>
      <w:r w:rsidR="009F4687" w:rsidRPr="009E4EEF">
        <w:rPr>
          <w:rFonts w:ascii="Times New Roman" w:eastAsia="Times New Roman" w:hAnsi="Times New Roman" w:cs="Times New Roman"/>
          <w:color w:val="000000"/>
          <w:sz w:val="24"/>
          <w:szCs w:val="24"/>
          <w:lang w:eastAsia="uk-UA"/>
        </w:rPr>
        <w:t xml:space="preserve"> із 50 можливих, що </w:t>
      </w:r>
      <w:proofErr w:type="spellStart"/>
      <w:r w:rsidR="00254EFF" w:rsidRPr="009E4EEF">
        <w:rPr>
          <w:rFonts w:ascii="Times New Roman" w:eastAsia="Times New Roman" w:hAnsi="Times New Roman" w:cs="Times New Roman"/>
          <w:color w:val="000000"/>
          <w:sz w:val="24"/>
          <w:szCs w:val="24"/>
          <w:lang w:eastAsia="uk-UA"/>
        </w:rPr>
        <w:t>нище</w:t>
      </w:r>
      <w:proofErr w:type="spellEnd"/>
      <w:r w:rsidR="009F4687" w:rsidRPr="009E4EEF">
        <w:rPr>
          <w:rFonts w:ascii="Times New Roman" w:eastAsia="Times New Roman" w:hAnsi="Times New Roman" w:cs="Times New Roman"/>
          <w:color w:val="000000"/>
          <w:sz w:val="24"/>
          <w:szCs w:val="24"/>
          <w:lang w:eastAsia="uk-UA"/>
        </w:rPr>
        <w:t xml:space="preserve"> 75% (37,5 </w:t>
      </w:r>
      <w:proofErr w:type="spellStart"/>
      <w:r w:rsidR="009F4687" w:rsidRPr="009E4EEF">
        <w:rPr>
          <w:rFonts w:ascii="Times New Roman" w:eastAsia="Times New Roman" w:hAnsi="Times New Roman" w:cs="Times New Roman"/>
          <w:color w:val="000000"/>
          <w:sz w:val="24"/>
          <w:szCs w:val="24"/>
          <w:lang w:eastAsia="uk-UA"/>
        </w:rPr>
        <w:t>бала</w:t>
      </w:r>
      <w:proofErr w:type="spellEnd"/>
      <w:r w:rsidR="009F4687" w:rsidRPr="009E4EEF">
        <w:rPr>
          <w:rFonts w:ascii="Times New Roman" w:eastAsia="Times New Roman" w:hAnsi="Times New Roman" w:cs="Times New Roman"/>
          <w:color w:val="000000"/>
          <w:sz w:val="24"/>
          <w:szCs w:val="24"/>
          <w:lang w:eastAsia="uk-UA"/>
        </w:rPr>
        <w:t>), тому Комісія виснує, що кандидат не відповідає критерію особистої компетентності. </w:t>
      </w:r>
    </w:p>
    <w:p w14:paraId="1F65EC75" w14:textId="77777777" w:rsidR="00377DB0" w:rsidRPr="009E4EEF" w:rsidRDefault="00377DB0"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2F498035"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u w:val="single"/>
          <w:lang w:eastAsia="uk-UA"/>
        </w:rPr>
        <w:t>V-ІV. Загальні принципи, застосовані Комісією при встановленні відповідності кандидата критеріям професійної етики та доброчесності.</w:t>
      </w:r>
    </w:p>
    <w:p w14:paraId="31C82D7F" w14:textId="242CFA3B" w:rsidR="009F4687" w:rsidRPr="009E4EEF" w:rsidRDefault="009F4687" w:rsidP="009E4EEF">
      <w:pPr>
        <w:spacing w:after="0" w:line="240" w:lineRule="auto"/>
        <w:rPr>
          <w:rFonts w:ascii="Times New Roman" w:eastAsia="Times New Roman" w:hAnsi="Times New Roman" w:cs="Times New Roman"/>
          <w:sz w:val="24"/>
          <w:szCs w:val="24"/>
          <w:lang w:eastAsia="uk-UA"/>
        </w:rPr>
      </w:pPr>
    </w:p>
    <w:p w14:paraId="67863C79" w14:textId="77777777" w:rsidR="009F4687" w:rsidRPr="009E4EEF" w:rsidRDefault="009F4687" w:rsidP="009E4EEF">
      <w:pPr>
        <w:numPr>
          <w:ilvl w:val="0"/>
          <w:numId w:val="7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3CAD7E8" w14:textId="77777777" w:rsidR="009F4687" w:rsidRPr="009E4EEF" w:rsidRDefault="009F4687" w:rsidP="009E4EEF">
      <w:pPr>
        <w:numPr>
          <w:ilvl w:val="0"/>
          <w:numId w:val="7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37C9B2FA" w14:textId="77777777" w:rsidR="009F4687" w:rsidRPr="009E4EEF" w:rsidRDefault="009F4687" w:rsidP="009E4EEF">
      <w:pPr>
        <w:numPr>
          <w:ilvl w:val="0"/>
          <w:numId w:val="7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4FE3F68A" w14:textId="040CB15E" w:rsidR="009F4687" w:rsidRPr="009E4EEF" w:rsidRDefault="009F4687" w:rsidP="009E4EEF">
      <w:pPr>
        <w:numPr>
          <w:ilvl w:val="0"/>
          <w:numId w:val="7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7775DE2D" w14:textId="77777777" w:rsidR="009F4687" w:rsidRPr="009E4EEF" w:rsidRDefault="009F4687" w:rsidP="009E4EEF">
      <w:pPr>
        <w:numPr>
          <w:ilvl w:val="0"/>
          <w:numId w:val="7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Відповідність кандидата на посаду судді критеріям доброчесності та професійної етики встановлюється за такими показниками:</w:t>
      </w:r>
    </w:p>
    <w:p w14:paraId="7FD96093" w14:textId="77777777" w:rsidR="009F4687" w:rsidRPr="009E4EEF" w:rsidRDefault="009F4687" w:rsidP="009E4EEF">
      <w:pPr>
        <w:numPr>
          <w:ilvl w:val="1"/>
          <w:numId w:val="7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Незалежність.</w:t>
      </w:r>
    </w:p>
    <w:p w14:paraId="515AEDE6" w14:textId="77777777" w:rsidR="009F4687" w:rsidRPr="009E4EEF" w:rsidRDefault="009F4687" w:rsidP="009E4EEF">
      <w:pPr>
        <w:numPr>
          <w:ilvl w:val="1"/>
          <w:numId w:val="7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Чесність.</w:t>
      </w:r>
    </w:p>
    <w:p w14:paraId="28656C32" w14:textId="77777777" w:rsidR="009F4687" w:rsidRPr="009E4EEF" w:rsidRDefault="009F4687" w:rsidP="009E4EEF">
      <w:pPr>
        <w:numPr>
          <w:ilvl w:val="1"/>
          <w:numId w:val="7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Неупередженість.</w:t>
      </w:r>
    </w:p>
    <w:p w14:paraId="55F47342" w14:textId="77777777" w:rsidR="009F4687" w:rsidRPr="009E4EEF" w:rsidRDefault="009F4687" w:rsidP="009E4EEF">
      <w:pPr>
        <w:numPr>
          <w:ilvl w:val="1"/>
          <w:numId w:val="7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Сумлінність.</w:t>
      </w:r>
    </w:p>
    <w:p w14:paraId="1DF6948E" w14:textId="77777777" w:rsidR="009F4687" w:rsidRPr="009E4EEF" w:rsidRDefault="009F4687" w:rsidP="009E4EEF">
      <w:pPr>
        <w:numPr>
          <w:ilvl w:val="1"/>
          <w:numId w:val="7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Непідкупність.</w:t>
      </w:r>
    </w:p>
    <w:p w14:paraId="17ADBC71" w14:textId="77777777" w:rsidR="009F4687" w:rsidRPr="009E4EEF" w:rsidRDefault="009F4687" w:rsidP="009E4EEF">
      <w:pPr>
        <w:numPr>
          <w:ilvl w:val="1"/>
          <w:numId w:val="7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Дотримання етичних норм і бездоганна поведінка у професійній діяльності та особистому житті.</w:t>
      </w:r>
    </w:p>
    <w:p w14:paraId="7F22FF02" w14:textId="77777777" w:rsidR="009F4687" w:rsidRPr="009E4EEF" w:rsidRDefault="009F4687" w:rsidP="009E4EEF">
      <w:pPr>
        <w:numPr>
          <w:ilvl w:val="1"/>
          <w:numId w:val="74"/>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lastRenderedPageBreak/>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7C9DE642" w14:textId="34CC509C" w:rsidR="009F4687" w:rsidRPr="009E4EEF" w:rsidRDefault="009F4687" w:rsidP="009E4EEF">
      <w:pPr>
        <w:numPr>
          <w:ilvl w:val="0"/>
          <w:numId w:val="7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Наповнюють зміст</w:t>
      </w:r>
      <w:r w:rsidR="00D67605" w:rsidRPr="009E4EEF">
        <w:rPr>
          <w:rFonts w:ascii="Times New Roman" w:eastAsia="Times New Roman" w:hAnsi="Times New Roman" w:cs="Times New Roman"/>
          <w:color w:val="000000"/>
          <w:sz w:val="24"/>
          <w:szCs w:val="24"/>
          <w:lang w:eastAsia="uk-UA"/>
        </w:rPr>
        <w:t>ом</w:t>
      </w:r>
      <w:r w:rsidRPr="009E4EEF">
        <w:rPr>
          <w:rFonts w:ascii="Times New Roman" w:eastAsia="Times New Roman" w:hAnsi="Times New Roman" w:cs="Times New Roman"/>
          <w:color w:val="000000"/>
          <w:sz w:val="24"/>
          <w:szCs w:val="24"/>
          <w:lang w:eastAsia="uk-UA"/>
        </w:rPr>
        <w:t xml:space="preserve"> показник</w:t>
      </w:r>
      <w:r w:rsidR="00D67605" w:rsidRPr="009E4EEF">
        <w:rPr>
          <w:rFonts w:ascii="Times New Roman" w:eastAsia="Times New Roman" w:hAnsi="Times New Roman" w:cs="Times New Roman"/>
          <w:color w:val="000000"/>
          <w:sz w:val="24"/>
          <w:szCs w:val="24"/>
          <w:lang w:eastAsia="uk-UA"/>
        </w:rPr>
        <w:t>и</w:t>
      </w:r>
      <w:r w:rsidRPr="009E4EEF">
        <w:rPr>
          <w:rFonts w:ascii="Times New Roman" w:eastAsia="Times New Roman" w:hAnsi="Times New Roman" w:cs="Times New Roman"/>
          <w:color w:val="000000"/>
          <w:sz w:val="24"/>
          <w:szCs w:val="24"/>
          <w:lang w:eastAsia="uk-UA"/>
        </w:rPr>
        <w:t xml:space="preserve"> затверджені Вищою радою правосуддя Єдині показники для оцінки доброчесності та професійної етики судді (кандидата на посаду судді).</w:t>
      </w:r>
    </w:p>
    <w:p w14:paraId="50977FF7" w14:textId="77777777" w:rsidR="009F4687" w:rsidRPr="009E4EEF" w:rsidRDefault="009F4687" w:rsidP="009E4EEF">
      <w:pPr>
        <w:numPr>
          <w:ilvl w:val="0"/>
          <w:numId w:val="7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Встановлення невідповідності показникам відбувається через призму істотності та суттєвості невідповідності тому чи іншому показнику. </w:t>
      </w:r>
    </w:p>
    <w:p w14:paraId="5F1508A9" w14:textId="0B8490D7" w:rsidR="009F4687" w:rsidRPr="009E4EEF" w:rsidRDefault="009F4687" w:rsidP="009E4EEF">
      <w:pPr>
        <w:numPr>
          <w:ilvl w:val="0"/>
          <w:numId w:val="7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44FA24BE" w14:textId="77777777" w:rsidR="009F4687" w:rsidRPr="009E4EEF" w:rsidRDefault="009F4687" w:rsidP="009E4EEF">
      <w:pPr>
        <w:numPr>
          <w:ilvl w:val="0"/>
          <w:numId w:val="7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14:paraId="4B6075B3" w14:textId="6C6D202C" w:rsidR="009F4687" w:rsidRPr="009E4EEF" w:rsidRDefault="009F4687" w:rsidP="009E4EEF">
      <w:pPr>
        <w:numPr>
          <w:ilvl w:val="0"/>
          <w:numId w:val="7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Натомість у разі суттєвої невідповідності </w:t>
      </w:r>
      <w:r w:rsidR="00D67605" w:rsidRPr="009E4EEF">
        <w:rPr>
          <w:rFonts w:ascii="Times New Roman" w:eastAsia="Times New Roman" w:hAnsi="Times New Roman" w:cs="Times New Roman"/>
          <w:color w:val="000000"/>
          <w:sz w:val="24"/>
          <w:szCs w:val="24"/>
          <w:lang w:eastAsia="uk-UA"/>
        </w:rPr>
        <w:t xml:space="preserve">кандидата на посаду судді </w:t>
      </w:r>
      <w:r w:rsidRPr="009E4EEF">
        <w:rPr>
          <w:rFonts w:ascii="Times New Roman" w:eastAsia="Times New Roman" w:hAnsi="Times New Roman" w:cs="Times New Roman"/>
          <w:color w:val="000000"/>
          <w:sz w:val="24"/>
          <w:szCs w:val="24"/>
          <w:lang w:eastAsia="uk-UA"/>
        </w:rPr>
        <w:t xml:space="preserve">показник знижується на 15 балів за кожним показником критерію професійної етики </w:t>
      </w:r>
      <w:r w:rsidR="002E4349" w:rsidRPr="009E4EEF">
        <w:rPr>
          <w:rFonts w:ascii="Times New Roman" w:eastAsia="Times New Roman" w:hAnsi="Times New Roman" w:cs="Times New Roman"/>
          <w:color w:val="000000"/>
          <w:sz w:val="24"/>
          <w:szCs w:val="24"/>
          <w:lang w:eastAsia="uk-UA"/>
        </w:rPr>
        <w:t>та</w:t>
      </w:r>
      <w:r w:rsidRPr="009E4EEF">
        <w:rPr>
          <w:rFonts w:ascii="Times New Roman" w:eastAsia="Times New Roman" w:hAnsi="Times New Roman" w:cs="Times New Roman"/>
          <w:color w:val="000000"/>
          <w:sz w:val="24"/>
          <w:szCs w:val="24"/>
          <w:lang w:eastAsia="uk-UA"/>
        </w:rPr>
        <w:t xml:space="preserve"> доброчесності. На цьому етапі </w:t>
      </w:r>
      <w:r w:rsidR="002E4349"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 xml:space="preserve">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9E4EEF">
        <w:rPr>
          <w:rFonts w:ascii="Times New Roman" w:eastAsia="Times New Roman" w:hAnsi="Times New Roman" w:cs="Times New Roman"/>
          <w:color w:val="000000"/>
          <w:sz w:val="24"/>
          <w:szCs w:val="24"/>
          <w:lang w:eastAsia="uk-UA"/>
        </w:rPr>
        <w:t>дискреції</w:t>
      </w:r>
      <w:proofErr w:type="spellEnd"/>
      <w:r w:rsidRPr="009E4EEF">
        <w:rPr>
          <w:rFonts w:ascii="Times New Roman" w:eastAsia="Times New Roman" w:hAnsi="Times New Roman" w:cs="Times New Roman"/>
          <w:color w:val="000000"/>
          <w:sz w:val="24"/>
          <w:szCs w:val="24"/>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4E90245A" w14:textId="1D0547A4" w:rsidR="009F4687" w:rsidRPr="009E4EEF" w:rsidRDefault="009F4687" w:rsidP="009E4EEF">
      <w:pPr>
        <w:numPr>
          <w:ilvl w:val="0"/>
          <w:numId w:val="8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6E9A1E31" w14:textId="77777777" w:rsidR="0047373B" w:rsidRPr="009E4EEF" w:rsidRDefault="0047373B"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0ACF5FC0" w14:textId="29851FCF" w:rsidR="009F4687" w:rsidRPr="009E4EEF" w:rsidRDefault="009F4687" w:rsidP="009E4EEF">
      <w:pPr>
        <w:spacing w:after="0" w:line="240" w:lineRule="auto"/>
        <w:jc w:val="both"/>
        <w:rPr>
          <w:rFonts w:ascii="Times New Roman" w:eastAsia="Times New Roman" w:hAnsi="Times New Roman" w:cs="Times New Roman"/>
          <w:color w:val="000000"/>
          <w:sz w:val="24"/>
          <w:szCs w:val="24"/>
          <w:u w:val="single"/>
          <w:lang w:eastAsia="uk-UA"/>
        </w:rPr>
      </w:pPr>
      <w:r w:rsidRPr="009E4EEF">
        <w:rPr>
          <w:rFonts w:ascii="Times New Roman" w:eastAsia="Times New Roman" w:hAnsi="Times New Roman" w:cs="Times New Roman"/>
          <w:color w:val="000000"/>
          <w:sz w:val="24"/>
          <w:szCs w:val="24"/>
          <w:u w:val="single"/>
          <w:lang w:eastAsia="uk-UA"/>
        </w:rPr>
        <w:t>V-V. Встановлення відповідності кандидата критеріям професійної етики та доброчесності.</w:t>
      </w:r>
    </w:p>
    <w:p w14:paraId="73221227" w14:textId="77777777" w:rsidR="0047373B" w:rsidRPr="009E4EEF" w:rsidRDefault="0047373B" w:rsidP="009E4EEF">
      <w:pPr>
        <w:spacing w:after="0" w:line="240" w:lineRule="auto"/>
        <w:jc w:val="both"/>
        <w:rPr>
          <w:rFonts w:ascii="Times New Roman" w:eastAsia="Times New Roman" w:hAnsi="Times New Roman" w:cs="Times New Roman"/>
          <w:sz w:val="24"/>
          <w:szCs w:val="24"/>
          <w:lang w:eastAsia="uk-UA"/>
        </w:rPr>
      </w:pPr>
    </w:p>
    <w:p w14:paraId="5098EE10" w14:textId="77777777" w:rsidR="009F4687" w:rsidRPr="009E4EEF" w:rsidRDefault="009F4687" w:rsidP="009E4EEF">
      <w:pPr>
        <w:numPr>
          <w:ilvl w:val="0"/>
          <w:numId w:val="8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Комісією не встановлено істотних обставин, які свідчать про невідповідність </w:t>
      </w:r>
      <w:proofErr w:type="spellStart"/>
      <w:r w:rsidRPr="009E4EEF">
        <w:rPr>
          <w:rFonts w:ascii="Times New Roman" w:eastAsia="Times New Roman" w:hAnsi="Times New Roman" w:cs="Times New Roman"/>
          <w:color w:val="000000"/>
          <w:sz w:val="24"/>
          <w:szCs w:val="24"/>
          <w:lang w:eastAsia="uk-UA"/>
        </w:rPr>
        <w:t>Бабаєва</w:t>
      </w:r>
      <w:proofErr w:type="spellEnd"/>
      <w:r w:rsidRPr="009E4EEF">
        <w:rPr>
          <w:rFonts w:ascii="Times New Roman" w:eastAsia="Times New Roman" w:hAnsi="Times New Roman" w:cs="Times New Roman"/>
          <w:color w:val="000000"/>
          <w:sz w:val="24"/>
          <w:szCs w:val="24"/>
          <w:lang w:eastAsia="uk-UA"/>
        </w:rPr>
        <w:t xml:space="preserve"> А.І. критеріям професійної етики та доброчесності. </w:t>
      </w:r>
    </w:p>
    <w:p w14:paraId="15F1C730" w14:textId="77777777" w:rsidR="009F4687" w:rsidRPr="009E4EEF" w:rsidRDefault="009F4687" w:rsidP="009E4EEF">
      <w:pPr>
        <w:numPr>
          <w:ilvl w:val="0"/>
          <w:numId w:val="8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Незалежність – це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тиску, погрози або втручання, прямого чи опосередкованого, від будь-кого та з будь-яких причин, а також протидіяти незаконному втручанню.</w:t>
      </w:r>
    </w:p>
    <w:p w14:paraId="77733B13" w14:textId="77777777" w:rsidR="009F4687" w:rsidRPr="009E4EEF" w:rsidRDefault="009F4687" w:rsidP="009E4EEF">
      <w:pPr>
        <w:numPr>
          <w:ilvl w:val="0"/>
          <w:numId w:val="8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shd w:val="clear" w:color="auto" w:fill="FFFFFF"/>
          <w:lang w:eastAsia="uk-UA"/>
        </w:rPr>
        <w:t xml:space="preserve">ідповідно до підпункту 1 пункту 15 Єдиних показників </w:t>
      </w:r>
      <w:r w:rsidRPr="009E4EEF">
        <w:rPr>
          <w:rFonts w:ascii="Times New Roman" w:eastAsia="Times New Roman" w:hAnsi="Times New Roman" w:cs="Times New Roman"/>
          <w:color w:val="000000"/>
          <w:sz w:val="24"/>
          <w:szCs w:val="24"/>
          <w:lang w:eastAsia="uk-UA"/>
        </w:rPr>
        <w:t>кандидат на посаду судді відповідає показнику незалежності, якщо зокрема, але не виключно проявляє та підтримує високі стандарти поведінки з метою укріплення суспільної довіри до незалежності суду.</w:t>
      </w:r>
    </w:p>
    <w:p w14:paraId="1AAE426A" w14:textId="77777777" w:rsidR="009F4687" w:rsidRPr="009E4EEF" w:rsidRDefault="009F4687" w:rsidP="009E4EEF">
      <w:pPr>
        <w:numPr>
          <w:ilvl w:val="0"/>
          <w:numId w:val="8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Сумлінність – старанне, ретельне та відповідальне виконання суддею (кандидатом на посаду судді) своїх обов’язків (пункт 19 Єдиних показників).</w:t>
      </w:r>
    </w:p>
    <w:p w14:paraId="2A368F63" w14:textId="77777777" w:rsidR="009F4687" w:rsidRPr="009E4EEF" w:rsidRDefault="009F4687" w:rsidP="009E4EEF">
      <w:pPr>
        <w:numPr>
          <w:ilvl w:val="0"/>
          <w:numId w:val="8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Відповідно до підпункту 6 пункту 19 Єдиних показників кандидат на посаду судді відповідає показнику сумлінності, якщо, зокрема, але не виключно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w:t>
      </w:r>
    </w:p>
    <w:p w14:paraId="0A278942" w14:textId="26E55D7F" w:rsidR="009F4687" w:rsidRPr="009E4EEF" w:rsidRDefault="0047373B" w:rsidP="009E4EEF">
      <w:pPr>
        <w:numPr>
          <w:ilvl w:val="0"/>
          <w:numId w:val="8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lastRenderedPageBreak/>
        <w:t>С</w:t>
      </w:r>
      <w:r w:rsidR="009F4687" w:rsidRPr="009E4EEF">
        <w:rPr>
          <w:rFonts w:ascii="Times New Roman" w:eastAsia="Times New Roman" w:hAnsi="Times New Roman" w:cs="Times New Roman"/>
          <w:color w:val="000000"/>
          <w:sz w:val="24"/>
          <w:szCs w:val="24"/>
          <w:lang w:eastAsia="uk-UA"/>
        </w:rPr>
        <w:t xml:space="preserve">уддя ухвалив 6 рішень, якими встановлював обмеження щодо реалізації права на мирні зібрання (пікетування, демонстрації, мітинги, збори тощо) шляхом заборони проведення таких заходів, у тому числі з використанням гучномовців, наметів, </w:t>
      </w:r>
      <w:proofErr w:type="spellStart"/>
      <w:r w:rsidR="009F4687" w:rsidRPr="009E4EEF">
        <w:rPr>
          <w:rFonts w:ascii="Times New Roman" w:eastAsia="Times New Roman" w:hAnsi="Times New Roman" w:cs="Times New Roman"/>
          <w:color w:val="000000"/>
          <w:sz w:val="24"/>
          <w:szCs w:val="24"/>
          <w:lang w:eastAsia="uk-UA"/>
        </w:rPr>
        <w:t>автотехніки</w:t>
      </w:r>
      <w:proofErr w:type="spellEnd"/>
      <w:r w:rsidR="009F4687" w:rsidRPr="009E4EEF">
        <w:rPr>
          <w:rFonts w:ascii="Times New Roman" w:eastAsia="Times New Roman" w:hAnsi="Times New Roman" w:cs="Times New Roman"/>
          <w:color w:val="000000"/>
          <w:sz w:val="24"/>
          <w:szCs w:val="24"/>
          <w:lang w:eastAsia="uk-UA"/>
        </w:rPr>
        <w:t>, плакатів.</w:t>
      </w:r>
    </w:p>
    <w:p w14:paraId="29C9569C" w14:textId="5996EF94" w:rsidR="009F4687" w:rsidRPr="009E4EEF" w:rsidRDefault="009F4687" w:rsidP="009E4EEF">
      <w:pPr>
        <w:numPr>
          <w:ilvl w:val="0"/>
          <w:numId w:val="87"/>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Так, постановою від 01 червня 2012 року у справі №</w:t>
      </w:r>
      <w:r w:rsidR="0028644B"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6576/12/2070 задоволено позов Харківської міської ради та обмежено право на збори шляхом заборони Харківському обласному осередку всеукраїнської молодіжної громадської організації «Молода Просвіта» в особі </w:t>
      </w:r>
      <w:r w:rsidR="00323427">
        <w:rPr>
          <w:rFonts w:ascii="Times New Roman" w:eastAsia="Times New Roman" w:hAnsi="Times New Roman" w:cs="Times New Roman"/>
          <w:color w:val="000000"/>
          <w:sz w:val="24"/>
          <w:szCs w:val="24"/>
          <w:lang w:eastAsia="uk-UA"/>
        </w:rPr>
        <w:t>ОСОБА_1</w:t>
      </w:r>
      <w:r w:rsidRPr="009E4EEF">
        <w:rPr>
          <w:rFonts w:ascii="Times New Roman" w:eastAsia="Times New Roman" w:hAnsi="Times New Roman" w:cs="Times New Roman"/>
          <w:color w:val="000000"/>
          <w:sz w:val="24"/>
          <w:szCs w:val="24"/>
          <w:lang w:eastAsia="uk-UA"/>
        </w:rPr>
        <w:t xml:space="preserve"> та іншим учасникам цієї акції проведення 05 червня 2012 року з 11.00 до 13.00 масового заходу </w:t>
      </w:r>
      <w:r w:rsidR="0028644B"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мітингу біля </w:t>
      </w:r>
      <w:r w:rsidR="00FC088E" w:rsidRPr="009E4EEF">
        <w:rPr>
          <w:rFonts w:ascii="Times New Roman" w:eastAsia="Times New Roman" w:hAnsi="Times New Roman" w:cs="Times New Roman"/>
          <w:color w:val="000000"/>
          <w:sz w:val="24"/>
          <w:szCs w:val="24"/>
          <w:lang w:eastAsia="uk-UA"/>
        </w:rPr>
        <w:t>пам’ятника</w:t>
      </w:r>
      <w:r w:rsidRPr="009E4EEF">
        <w:rPr>
          <w:rFonts w:ascii="Times New Roman" w:eastAsia="Times New Roman" w:hAnsi="Times New Roman" w:cs="Times New Roman"/>
          <w:color w:val="000000"/>
          <w:sz w:val="24"/>
          <w:szCs w:val="24"/>
          <w:lang w:eastAsia="uk-UA"/>
        </w:rPr>
        <w:t xml:space="preserve"> Т.Г. Шевченк</w:t>
      </w:r>
      <w:r w:rsidR="0028644B" w:rsidRPr="009E4EEF">
        <w:rPr>
          <w:rFonts w:ascii="Times New Roman" w:eastAsia="Times New Roman" w:hAnsi="Times New Roman" w:cs="Times New Roman"/>
          <w:color w:val="000000"/>
          <w:sz w:val="24"/>
          <w:szCs w:val="24"/>
          <w:lang w:eastAsia="uk-UA"/>
        </w:rPr>
        <w:t>у</w:t>
      </w:r>
      <w:r w:rsidRPr="009E4EEF">
        <w:rPr>
          <w:rFonts w:ascii="Times New Roman" w:eastAsia="Times New Roman" w:hAnsi="Times New Roman" w:cs="Times New Roman"/>
          <w:color w:val="000000"/>
          <w:sz w:val="24"/>
          <w:szCs w:val="24"/>
          <w:lang w:eastAsia="uk-UA"/>
        </w:rPr>
        <w:t xml:space="preserve"> по вул. Сумській у місті Харкові. Ухвалою Харківського апеляційного суду від 20 червня 2012 року</w:t>
      </w:r>
      <w:r w:rsidR="00FC088E" w:rsidRPr="009E4EEF">
        <w:rPr>
          <w:rFonts w:ascii="Times New Roman" w:eastAsia="Times New Roman" w:hAnsi="Times New Roman" w:cs="Times New Roman"/>
          <w:color w:val="000000"/>
          <w:sz w:val="24"/>
          <w:szCs w:val="24"/>
          <w:lang w:eastAsia="uk-UA"/>
        </w:rPr>
        <w:t>. У</w:t>
      </w:r>
      <w:r w:rsidRPr="009E4EEF">
        <w:rPr>
          <w:rFonts w:ascii="Times New Roman" w:eastAsia="Times New Roman" w:hAnsi="Times New Roman" w:cs="Times New Roman"/>
          <w:color w:val="000000"/>
          <w:sz w:val="24"/>
          <w:szCs w:val="24"/>
          <w:lang w:eastAsia="uk-UA"/>
        </w:rPr>
        <w:t>хвалою Вищого адміністративного</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суду</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України</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від</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14</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вересня</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2012</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року</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рішення</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залишено</w:t>
      </w:r>
      <w:r w:rsidRPr="00323427">
        <w:rPr>
          <w:rFonts w:ascii="Times New Roman" w:eastAsia="Times New Roman" w:hAnsi="Times New Roman" w:cs="Times New Roman"/>
          <w:color w:val="000000"/>
          <w:sz w:val="96"/>
          <w:szCs w:val="96"/>
          <w:lang w:eastAsia="uk-UA"/>
        </w:rPr>
        <w:t xml:space="preserve"> </w:t>
      </w:r>
      <w:r w:rsidRPr="009E4EEF">
        <w:rPr>
          <w:rFonts w:ascii="Times New Roman" w:eastAsia="Times New Roman" w:hAnsi="Times New Roman" w:cs="Times New Roman"/>
          <w:color w:val="000000"/>
          <w:sz w:val="24"/>
          <w:szCs w:val="24"/>
          <w:lang w:eastAsia="uk-UA"/>
        </w:rPr>
        <w:t>без змін.</w:t>
      </w:r>
    </w:p>
    <w:p w14:paraId="2C0C69E7" w14:textId="49303CE6" w:rsidR="009F4687" w:rsidRPr="009E4EEF" w:rsidRDefault="009F4687" w:rsidP="009E4EEF">
      <w:pPr>
        <w:numPr>
          <w:ilvl w:val="0"/>
          <w:numId w:val="88"/>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Постановою від 07 липня 2012 року у справі №</w:t>
      </w:r>
      <w:r w:rsidR="00FC088E"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7962/12/2070 задоволено позов Харківської міської ради та обмежено право на збори шляхом заборони Червонозаводській районній партійній організації ВО «Батьківщина» в особі відповідального </w:t>
      </w:r>
      <w:r w:rsidR="00323427">
        <w:rPr>
          <w:rFonts w:ascii="Times New Roman" w:eastAsia="Times New Roman" w:hAnsi="Times New Roman" w:cs="Times New Roman"/>
          <w:color w:val="000000"/>
          <w:sz w:val="24"/>
          <w:szCs w:val="24"/>
          <w:lang w:eastAsia="uk-UA"/>
        </w:rPr>
        <w:t>ОСОБА_2</w:t>
      </w:r>
      <w:r w:rsidRPr="009E4EEF">
        <w:rPr>
          <w:rFonts w:ascii="Times New Roman" w:eastAsia="Times New Roman" w:hAnsi="Times New Roman" w:cs="Times New Roman"/>
          <w:color w:val="000000"/>
          <w:sz w:val="24"/>
          <w:szCs w:val="24"/>
          <w:lang w:eastAsia="uk-UA"/>
        </w:rPr>
        <w:t xml:space="preserve"> та іншим учасникам акції проведення 10 липня 2012 року з 08.00 безстрокової акції протесту у сквері на</w:t>
      </w:r>
      <w:r w:rsidR="00FC088E"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проти будівлі апеляційного суду Харківської області на майдані Руднєва, б</w:t>
      </w:r>
      <w:r w:rsidR="00FC088E" w:rsidRPr="009E4EEF">
        <w:rPr>
          <w:rFonts w:ascii="Times New Roman" w:eastAsia="Times New Roman" w:hAnsi="Times New Roman" w:cs="Times New Roman"/>
          <w:color w:val="000000"/>
          <w:sz w:val="24"/>
          <w:szCs w:val="24"/>
          <w:lang w:eastAsia="uk-UA"/>
        </w:rPr>
        <w:t>уд</w:t>
      </w:r>
      <w:r w:rsidRPr="009E4EEF">
        <w:rPr>
          <w:rFonts w:ascii="Times New Roman" w:eastAsia="Times New Roman" w:hAnsi="Times New Roman" w:cs="Times New Roman"/>
          <w:color w:val="000000"/>
          <w:sz w:val="24"/>
          <w:szCs w:val="24"/>
          <w:lang w:eastAsia="uk-UA"/>
        </w:rPr>
        <w:t>. 36</w:t>
      </w:r>
      <w:r w:rsidR="00FC088E"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та прилеглої території у м</w:t>
      </w:r>
      <w:r w:rsidR="00892452" w:rsidRPr="009E4EEF">
        <w:rPr>
          <w:rFonts w:ascii="Times New Roman" w:eastAsia="Times New Roman" w:hAnsi="Times New Roman" w:cs="Times New Roman"/>
          <w:color w:val="000000"/>
          <w:sz w:val="24"/>
          <w:szCs w:val="24"/>
          <w:lang w:eastAsia="uk-UA"/>
        </w:rPr>
        <w:t>істі</w:t>
      </w:r>
      <w:r w:rsidRPr="009E4EEF">
        <w:rPr>
          <w:rFonts w:ascii="Times New Roman" w:eastAsia="Times New Roman" w:hAnsi="Times New Roman" w:cs="Times New Roman"/>
          <w:color w:val="000000"/>
          <w:sz w:val="24"/>
          <w:szCs w:val="24"/>
          <w:lang w:eastAsia="uk-UA"/>
        </w:rPr>
        <w:t xml:space="preserve"> Харкові зі встановленням наметів, сцени та використанням </w:t>
      </w:r>
      <w:proofErr w:type="spellStart"/>
      <w:r w:rsidRPr="009E4EEF">
        <w:rPr>
          <w:rFonts w:ascii="Times New Roman" w:eastAsia="Times New Roman" w:hAnsi="Times New Roman" w:cs="Times New Roman"/>
          <w:color w:val="000000"/>
          <w:sz w:val="24"/>
          <w:szCs w:val="24"/>
          <w:lang w:eastAsia="uk-UA"/>
        </w:rPr>
        <w:t>звукопідсилюючої</w:t>
      </w:r>
      <w:proofErr w:type="spellEnd"/>
      <w:r w:rsidRPr="009E4EEF">
        <w:rPr>
          <w:rFonts w:ascii="Times New Roman" w:eastAsia="Times New Roman" w:hAnsi="Times New Roman" w:cs="Times New Roman"/>
          <w:color w:val="000000"/>
          <w:sz w:val="24"/>
          <w:szCs w:val="24"/>
          <w:lang w:eastAsia="uk-UA"/>
        </w:rPr>
        <w:t xml:space="preserve"> апаратури. Рішення не оскаржувалось.</w:t>
      </w:r>
    </w:p>
    <w:p w14:paraId="7347847A" w14:textId="26EDB892" w:rsidR="009F4687" w:rsidRPr="009E4EEF" w:rsidRDefault="009F4687" w:rsidP="009E4EEF">
      <w:pPr>
        <w:numPr>
          <w:ilvl w:val="0"/>
          <w:numId w:val="89"/>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Постановою від 07 липня 2012 року у справі №</w:t>
      </w:r>
      <w:r w:rsidR="00892452"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7958/12/2070 задоволено позов Харківської міської ради та обмежено право на збори шляхом заборони </w:t>
      </w:r>
      <w:r w:rsidR="00323427">
        <w:rPr>
          <w:rFonts w:ascii="Times New Roman" w:eastAsia="Times New Roman" w:hAnsi="Times New Roman" w:cs="Times New Roman"/>
          <w:color w:val="000000"/>
          <w:sz w:val="24"/>
          <w:szCs w:val="24"/>
          <w:lang w:eastAsia="uk-UA"/>
        </w:rPr>
        <w:t>ОСОБА_3</w:t>
      </w:r>
      <w:r w:rsidRPr="009E4EEF">
        <w:rPr>
          <w:rFonts w:ascii="Times New Roman" w:eastAsia="Times New Roman" w:hAnsi="Times New Roman" w:cs="Times New Roman"/>
          <w:color w:val="000000"/>
          <w:sz w:val="24"/>
          <w:szCs w:val="24"/>
          <w:lang w:eastAsia="uk-UA"/>
        </w:rPr>
        <w:t xml:space="preserve"> та іншим учасникам цієї акції проведення 10</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липня 2012 року з 08.00 безстрокової акції протесту у сквері на</w:t>
      </w:r>
      <w:r w:rsidR="00892452"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 xml:space="preserve">проти будівлі </w:t>
      </w:r>
      <w:r w:rsidR="00892452" w:rsidRPr="009E4EEF">
        <w:rPr>
          <w:rFonts w:ascii="Times New Roman" w:eastAsia="Times New Roman" w:hAnsi="Times New Roman" w:cs="Times New Roman"/>
          <w:color w:val="000000"/>
          <w:sz w:val="24"/>
          <w:szCs w:val="24"/>
          <w:lang w:eastAsia="uk-UA"/>
        </w:rPr>
        <w:t>А</w:t>
      </w:r>
      <w:r w:rsidRPr="009E4EEF">
        <w:rPr>
          <w:rFonts w:ascii="Times New Roman" w:eastAsia="Times New Roman" w:hAnsi="Times New Roman" w:cs="Times New Roman"/>
          <w:color w:val="000000"/>
          <w:sz w:val="24"/>
          <w:szCs w:val="24"/>
          <w:lang w:eastAsia="uk-UA"/>
        </w:rPr>
        <w:t>пеляційного суду Харківської області на майдані Руднєва, б</w:t>
      </w:r>
      <w:r w:rsidR="00892452" w:rsidRPr="009E4EEF">
        <w:rPr>
          <w:rFonts w:ascii="Times New Roman" w:eastAsia="Times New Roman" w:hAnsi="Times New Roman" w:cs="Times New Roman"/>
          <w:color w:val="000000"/>
          <w:sz w:val="24"/>
          <w:szCs w:val="24"/>
          <w:lang w:eastAsia="uk-UA"/>
        </w:rPr>
        <w:t>уд</w:t>
      </w:r>
      <w:r w:rsidRPr="009E4EEF">
        <w:rPr>
          <w:rFonts w:ascii="Times New Roman" w:eastAsia="Times New Roman" w:hAnsi="Times New Roman" w:cs="Times New Roman"/>
          <w:color w:val="000000"/>
          <w:sz w:val="24"/>
          <w:szCs w:val="24"/>
          <w:lang w:eastAsia="uk-UA"/>
        </w:rPr>
        <w:t>. 36 та прилеглої території у місті Харкові. Ухвалою Харківського апеляційного суду від 12 липня 2012 року рішення залишено без змін.</w:t>
      </w:r>
    </w:p>
    <w:p w14:paraId="19B23A0D" w14:textId="381CC4C5" w:rsidR="009F4687" w:rsidRPr="009E4EEF" w:rsidRDefault="009F4687" w:rsidP="009E4EEF">
      <w:pPr>
        <w:numPr>
          <w:ilvl w:val="0"/>
          <w:numId w:val="90"/>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Постановою від 09 липня 2012 року у справі №</w:t>
      </w:r>
      <w:r w:rsidR="00682E72"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8027/12/2070 задоволено позов Харківської міської ради</w:t>
      </w:r>
      <w:r w:rsidRPr="009E4EEF">
        <w:rPr>
          <w:rFonts w:ascii="Times New Roman" w:eastAsia="Times New Roman" w:hAnsi="Times New Roman" w:cs="Times New Roman"/>
          <w:b/>
          <w:bCs/>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та обмежено право на збори шляхом заборони </w:t>
      </w:r>
      <w:r w:rsidR="00323427">
        <w:rPr>
          <w:rFonts w:ascii="Times New Roman" w:eastAsia="Times New Roman" w:hAnsi="Times New Roman" w:cs="Times New Roman"/>
          <w:color w:val="000000"/>
          <w:sz w:val="24"/>
          <w:szCs w:val="24"/>
          <w:lang w:eastAsia="uk-UA"/>
        </w:rPr>
        <w:t>ОСОБА_4</w:t>
      </w:r>
      <w:r w:rsidRPr="009E4EEF">
        <w:rPr>
          <w:rFonts w:ascii="Times New Roman" w:eastAsia="Times New Roman" w:hAnsi="Times New Roman" w:cs="Times New Roman"/>
          <w:color w:val="000000"/>
          <w:sz w:val="24"/>
          <w:szCs w:val="24"/>
          <w:lang w:eastAsia="uk-UA"/>
        </w:rPr>
        <w:t xml:space="preserve"> та іншим учасникам акції проведення 10 липня 2012 року з 08.00 до 19:00 год. мирного зібрання зі встановленням сцени та використанням </w:t>
      </w:r>
      <w:proofErr w:type="spellStart"/>
      <w:r w:rsidRPr="009E4EEF">
        <w:rPr>
          <w:rFonts w:ascii="Times New Roman" w:eastAsia="Times New Roman" w:hAnsi="Times New Roman" w:cs="Times New Roman"/>
          <w:color w:val="000000"/>
          <w:sz w:val="24"/>
          <w:szCs w:val="24"/>
          <w:lang w:eastAsia="uk-UA"/>
        </w:rPr>
        <w:t>звукопідсилюючої</w:t>
      </w:r>
      <w:proofErr w:type="spellEnd"/>
      <w:r w:rsidRPr="009E4EEF">
        <w:rPr>
          <w:rFonts w:ascii="Times New Roman" w:eastAsia="Times New Roman" w:hAnsi="Times New Roman" w:cs="Times New Roman"/>
          <w:color w:val="000000"/>
          <w:sz w:val="24"/>
          <w:szCs w:val="24"/>
          <w:lang w:eastAsia="uk-UA"/>
        </w:rPr>
        <w:t xml:space="preserve"> апаратури у сквері на</w:t>
      </w:r>
      <w:r w:rsidR="00682E72" w:rsidRPr="009E4EEF">
        <w:rPr>
          <w:rFonts w:ascii="Times New Roman" w:eastAsia="Times New Roman" w:hAnsi="Times New Roman" w:cs="Times New Roman"/>
          <w:color w:val="000000"/>
          <w:sz w:val="24"/>
          <w:szCs w:val="24"/>
          <w:lang w:eastAsia="uk-UA"/>
        </w:rPr>
        <w:t>в</w:t>
      </w:r>
      <w:r w:rsidRPr="009E4EEF">
        <w:rPr>
          <w:rFonts w:ascii="Times New Roman" w:eastAsia="Times New Roman" w:hAnsi="Times New Roman" w:cs="Times New Roman"/>
          <w:color w:val="000000"/>
          <w:sz w:val="24"/>
          <w:szCs w:val="24"/>
          <w:lang w:eastAsia="uk-UA"/>
        </w:rPr>
        <w:t xml:space="preserve">проти будівлі </w:t>
      </w:r>
      <w:r w:rsidR="00682E72" w:rsidRPr="009E4EEF">
        <w:rPr>
          <w:rFonts w:ascii="Times New Roman" w:eastAsia="Times New Roman" w:hAnsi="Times New Roman" w:cs="Times New Roman"/>
          <w:color w:val="000000"/>
          <w:sz w:val="24"/>
          <w:szCs w:val="24"/>
          <w:lang w:eastAsia="uk-UA"/>
        </w:rPr>
        <w:t>А</w:t>
      </w:r>
      <w:r w:rsidRPr="009E4EEF">
        <w:rPr>
          <w:rFonts w:ascii="Times New Roman" w:eastAsia="Times New Roman" w:hAnsi="Times New Roman" w:cs="Times New Roman"/>
          <w:color w:val="000000"/>
          <w:sz w:val="24"/>
          <w:szCs w:val="24"/>
          <w:lang w:eastAsia="uk-UA"/>
        </w:rPr>
        <w:t xml:space="preserve">пеляційного суду Харківської області та прилеглої території на майдані Руднєва, </w:t>
      </w:r>
      <w:r w:rsidR="00682E72" w:rsidRPr="009E4EEF">
        <w:rPr>
          <w:rFonts w:ascii="Times New Roman" w:eastAsia="Times New Roman" w:hAnsi="Times New Roman" w:cs="Times New Roman"/>
          <w:color w:val="000000"/>
          <w:sz w:val="24"/>
          <w:szCs w:val="24"/>
          <w:lang w:eastAsia="uk-UA"/>
        </w:rPr>
        <w:t xml:space="preserve">буд. </w:t>
      </w:r>
      <w:r w:rsidRPr="009E4EEF">
        <w:rPr>
          <w:rFonts w:ascii="Times New Roman" w:eastAsia="Times New Roman" w:hAnsi="Times New Roman" w:cs="Times New Roman"/>
          <w:color w:val="000000"/>
          <w:sz w:val="24"/>
          <w:szCs w:val="24"/>
          <w:lang w:eastAsia="uk-UA"/>
        </w:rPr>
        <w:t>36</w:t>
      </w:r>
      <w:r w:rsidR="00682E72"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у місті Харкові. Рішення не оскаржувалось.</w:t>
      </w:r>
    </w:p>
    <w:p w14:paraId="6569D6C4" w14:textId="6BCDEC87" w:rsidR="009F4687" w:rsidRPr="009E4EEF" w:rsidRDefault="009F4687" w:rsidP="009E4EEF">
      <w:pPr>
        <w:numPr>
          <w:ilvl w:val="0"/>
          <w:numId w:val="91"/>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w:t>
      </w:r>
      <w:r w:rsidR="00682E72" w:rsidRPr="009E4EEF">
        <w:rPr>
          <w:rFonts w:ascii="Times New Roman" w:eastAsia="Times New Roman" w:hAnsi="Times New Roman" w:cs="Times New Roman"/>
          <w:color w:val="000000"/>
          <w:sz w:val="24"/>
          <w:szCs w:val="24"/>
          <w:lang w:eastAsia="uk-UA"/>
        </w:rPr>
        <w:t>ою</w:t>
      </w:r>
      <w:r w:rsidRPr="009E4EEF">
        <w:rPr>
          <w:rFonts w:ascii="Times New Roman" w:eastAsia="Times New Roman" w:hAnsi="Times New Roman" w:cs="Times New Roman"/>
          <w:color w:val="000000"/>
          <w:sz w:val="24"/>
          <w:szCs w:val="24"/>
          <w:lang w:eastAsia="uk-UA"/>
        </w:rPr>
        <w:t xml:space="preserve"> від 07 вересня 2012 року у справі №</w:t>
      </w:r>
      <w:r w:rsidR="00682E72"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10134/12/2070 задоволено позов Харківської міської ради та обмежено право на збори шляхом заборони </w:t>
      </w:r>
      <w:r w:rsidR="00323427">
        <w:rPr>
          <w:rFonts w:ascii="Times New Roman" w:eastAsia="Times New Roman" w:hAnsi="Times New Roman" w:cs="Times New Roman"/>
          <w:color w:val="000000"/>
          <w:sz w:val="24"/>
          <w:szCs w:val="24"/>
          <w:lang w:eastAsia="uk-UA"/>
        </w:rPr>
        <w:t>ОСОБА_5</w:t>
      </w:r>
      <w:r w:rsidRPr="009E4EEF">
        <w:rPr>
          <w:rFonts w:ascii="Times New Roman" w:eastAsia="Times New Roman" w:hAnsi="Times New Roman" w:cs="Times New Roman"/>
          <w:color w:val="000000"/>
          <w:sz w:val="24"/>
          <w:szCs w:val="24"/>
          <w:lang w:eastAsia="uk-UA"/>
        </w:rPr>
        <w:t xml:space="preserve"> та іншим учасникам цієї акції проведення 08</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вересня 2012 року з 10.30 до 15.00 масового заходу </w:t>
      </w:r>
      <w:r w:rsidR="00682E72"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мирної акції «Харкове, </w:t>
      </w:r>
      <w:proofErr w:type="spellStart"/>
      <w:r w:rsidRPr="009E4EEF">
        <w:rPr>
          <w:rFonts w:ascii="Times New Roman" w:eastAsia="Times New Roman" w:hAnsi="Times New Roman" w:cs="Times New Roman"/>
          <w:color w:val="000000"/>
          <w:sz w:val="24"/>
          <w:szCs w:val="24"/>
          <w:lang w:eastAsia="uk-UA"/>
        </w:rPr>
        <w:t>вставай</w:t>
      </w:r>
      <w:proofErr w:type="spellEnd"/>
      <w:r w:rsidRPr="009E4EEF">
        <w:rPr>
          <w:rFonts w:ascii="Times New Roman" w:eastAsia="Times New Roman" w:hAnsi="Times New Roman" w:cs="Times New Roman"/>
          <w:color w:val="000000"/>
          <w:sz w:val="24"/>
          <w:szCs w:val="24"/>
          <w:lang w:eastAsia="uk-UA"/>
        </w:rPr>
        <w:t xml:space="preserve"> на захист </w:t>
      </w:r>
      <w:proofErr w:type="spellStart"/>
      <w:r w:rsidRPr="009E4EEF">
        <w:rPr>
          <w:rFonts w:ascii="Times New Roman" w:eastAsia="Times New Roman" w:hAnsi="Times New Roman" w:cs="Times New Roman"/>
          <w:color w:val="000000"/>
          <w:sz w:val="24"/>
          <w:szCs w:val="24"/>
          <w:lang w:eastAsia="uk-UA"/>
        </w:rPr>
        <w:t>ТВі</w:t>
      </w:r>
      <w:proofErr w:type="spellEnd"/>
      <w:r w:rsidRPr="009E4EEF">
        <w:rPr>
          <w:rFonts w:ascii="Times New Roman" w:eastAsia="Times New Roman" w:hAnsi="Times New Roman" w:cs="Times New Roman"/>
          <w:color w:val="000000"/>
          <w:sz w:val="24"/>
          <w:szCs w:val="24"/>
          <w:lang w:eastAsia="uk-UA"/>
        </w:rPr>
        <w:t xml:space="preserve">!» за </w:t>
      </w:r>
      <w:proofErr w:type="spellStart"/>
      <w:r w:rsidRPr="009E4EEF">
        <w:rPr>
          <w:rFonts w:ascii="Times New Roman" w:eastAsia="Times New Roman" w:hAnsi="Times New Roman" w:cs="Times New Roman"/>
          <w:color w:val="000000"/>
          <w:sz w:val="24"/>
          <w:szCs w:val="24"/>
          <w:lang w:eastAsia="uk-UA"/>
        </w:rPr>
        <w:t>адресою</w:t>
      </w:r>
      <w:proofErr w:type="spellEnd"/>
      <w:r w:rsidRPr="009E4EEF">
        <w:rPr>
          <w:rFonts w:ascii="Times New Roman" w:eastAsia="Times New Roman" w:hAnsi="Times New Roman" w:cs="Times New Roman"/>
          <w:color w:val="000000"/>
          <w:sz w:val="24"/>
          <w:szCs w:val="24"/>
          <w:lang w:eastAsia="uk-UA"/>
        </w:rPr>
        <w:t>: м. Харків, площа Свободи. Рішення не оскаржувалось.</w:t>
      </w:r>
    </w:p>
    <w:p w14:paraId="28611970" w14:textId="2C223021" w:rsidR="009F4687" w:rsidRPr="009E4EEF" w:rsidRDefault="009F4687" w:rsidP="009E4EEF">
      <w:pPr>
        <w:numPr>
          <w:ilvl w:val="0"/>
          <w:numId w:val="92"/>
        </w:numPr>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Постановою від 12 листопада 2013 року у справі № 820/11079/13-а задоволено позов Харківської міської ради та обмежено право на збори шляхом заборони Харківській міській організації Всеукраїнського </w:t>
      </w:r>
      <w:r w:rsidR="00812191" w:rsidRPr="009E4EEF">
        <w:rPr>
          <w:rFonts w:ascii="Times New Roman" w:eastAsia="Times New Roman" w:hAnsi="Times New Roman" w:cs="Times New Roman"/>
          <w:color w:val="000000"/>
          <w:sz w:val="24"/>
          <w:szCs w:val="24"/>
          <w:lang w:eastAsia="uk-UA"/>
        </w:rPr>
        <w:t>об’єднання</w:t>
      </w:r>
      <w:r w:rsidRPr="009E4EEF">
        <w:rPr>
          <w:rFonts w:ascii="Times New Roman" w:eastAsia="Times New Roman" w:hAnsi="Times New Roman" w:cs="Times New Roman"/>
          <w:color w:val="000000"/>
          <w:sz w:val="24"/>
          <w:szCs w:val="24"/>
          <w:lang w:eastAsia="uk-UA"/>
        </w:rPr>
        <w:t xml:space="preserve"> </w:t>
      </w:r>
      <w:r w:rsidR="0081219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Свобода</w:t>
      </w:r>
      <w:r w:rsidR="00812191"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в особі голови </w:t>
      </w:r>
      <w:r w:rsidR="00323427">
        <w:rPr>
          <w:rFonts w:ascii="Times New Roman" w:eastAsia="Times New Roman" w:hAnsi="Times New Roman" w:cs="Times New Roman"/>
          <w:color w:val="000000"/>
          <w:sz w:val="24"/>
          <w:szCs w:val="24"/>
          <w:lang w:eastAsia="uk-UA"/>
        </w:rPr>
        <w:t>ОСОБА_6</w:t>
      </w:r>
      <w:r w:rsidRPr="009E4EEF">
        <w:rPr>
          <w:rFonts w:ascii="Times New Roman" w:eastAsia="Times New Roman" w:hAnsi="Times New Roman" w:cs="Times New Roman"/>
          <w:color w:val="000000"/>
          <w:sz w:val="24"/>
          <w:szCs w:val="24"/>
          <w:lang w:eastAsia="uk-UA"/>
        </w:rPr>
        <w:t xml:space="preserve"> та іншим учасникам акції встановлення з 13 листопада 2013</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року до 31 грудня 2013 року агітаційних наметів для розповсюдження друкованої продукції Всеукраїнського </w:t>
      </w:r>
      <w:r w:rsidR="00222F4A" w:rsidRPr="009E4EEF">
        <w:rPr>
          <w:rFonts w:ascii="Times New Roman" w:eastAsia="Times New Roman" w:hAnsi="Times New Roman" w:cs="Times New Roman"/>
          <w:color w:val="000000"/>
          <w:sz w:val="24"/>
          <w:szCs w:val="24"/>
          <w:lang w:eastAsia="uk-UA"/>
        </w:rPr>
        <w:t>об’єднання</w:t>
      </w:r>
      <w:r w:rsidRPr="009E4EEF">
        <w:rPr>
          <w:rFonts w:ascii="Times New Roman" w:eastAsia="Times New Roman" w:hAnsi="Times New Roman" w:cs="Times New Roman"/>
          <w:color w:val="000000"/>
          <w:sz w:val="24"/>
          <w:szCs w:val="24"/>
          <w:lang w:eastAsia="uk-UA"/>
        </w:rPr>
        <w:t xml:space="preserve"> </w:t>
      </w:r>
      <w:r w:rsidR="00222F4A"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Свобода</w:t>
      </w:r>
      <w:r w:rsidR="00222F4A"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за </w:t>
      </w:r>
      <w:proofErr w:type="spellStart"/>
      <w:r w:rsidRPr="009E4EEF">
        <w:rPr>
          <w:rFonts w:ascii="Times New Roman" w:eastAsia="Times New Roman" w:hAnsi="Times New Roman" w:cs="Times New Roman"/>
          <w:color w:val="000000"/>
          <w:sz w:val="24"/>
          <w:szCs w:val="24"/>
          <w:lang w:eastAsia="uk-UA"/>
        </w:rPr>
        <w:t>адресою</w:t>
      </w:r>
      <w:proofErr w:type="spellEnd"/>
      <w:r w:rsidRPr="009E4EEF">
        <w:rPr>
          <w:rFonts w:ascii="Times New Roman" w:eastAsia="Times New Roman" w:hAnsi="Times New Roman" w:cs="Times New Roman"/>
          <w:color w:val="000000"/>
          <w:sz w:val="24"/>
          <w:szCs w:val="24"/>
          <w:lang w:eastAsia="uk-UA"/>
        </w:rPr>
        <w:t>: м. Харків, вул. Сумська, сквер Перемоги (за Дзеркальним струменем). Рішення не оскаржувалось.</w:t>
      </w:r>
    </w:p>
    <w:p w14:paraId="3019974F" w14:textId="10B89A42" w:rsidR="009F4687" w:rsidRPr="009E4EEF" w:rsidRDefault="009F4687" w:rsidP="009E4EEF">
      <w:pPr>
        <w:numPr>
          <w:ilvl w:val="0"/>
          <w:numId w:val="9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Суддя критично ставиться до висновку ГРД в цій частині</w:t>
      </w:r>
      <w:r w:rsidR="00985487" w:rsidRPr="009E4EEF">
        <w:rPr>
          <w:rFonts w:ascii="Times New Roman" w:eastAsia="Times New Roman" w:hAnsi="Times New Roman" w:cs="Times New Roman"/>
          <w:color w:val="000000"/>
          <w:sz w:val="24"/>
          <w:szCs w:val="24"/>
          <w:lang w:eastAsia="uk-UA"/>
        </w:rPr>
        <w:t>. П</w:t>
      </w:r>
      <w:r w:rsidRPr="009E4EEF">
        <w:rPr>
          <w:rFonts w:ascii="Times New Roman" w:eastAsia="Times New Roman" w:hAnsi="Times New Roman" w:cs="Times New Roman"/>
          <w:color w:val="000000"/>
          <w:sz w:val="24"/>
          <w:szCs w:val="24"/>
          <w:lang w:eastAsia="uk-UA"/>
        </w:rPr>
        <w:t xml:space="preserve">ід час співбесіди </w:t>
      </w:r>
      <w:r w:rsidR="00985487" w:rsidRPr="009E4EEF">
        <w:rPr>
          <w:rFonts w:ascii="Times New Roman" w:eastAsia="Times New Roman" w:hAnsi="Times New Roman" w:cs="Times New Roman"/>
          <w:color w:val="000000"/>
          <w:sz w:val="24"/>
          <w:szCs w:val="24"/>
          <w:lang w:eastAsia="uk-UA"/>
        </w:rPr>
        <w:t xml:space="preserve">він </w:t>
      </w:r>
      <w:r w:rsidRPr="009E4EEF">
        <w:rPr>
          <w:rFonts w:ascii="Times New Roman" w:eastAsia="Times New Roman" w:hAnsi="Times New Roman" w:cs="Times New Roman"/>
          <w:color w:val="000000"/>
          <w:sz w:val="24"/>
          <w:szCs w:val="24"/>
          <w:lang w:eastAsia="uk-UA"/>
        </w:rPr>
        <w:t>пояснив, що рішення ним ухвалювались не свавільно, а на підставі норм Кодексу адміністративного судочинства України та доказів</w:t>
      </w:r>
      <w:r w:rsidR="00985487"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наявних в матеріалах справ</w:t>
      </w:r>
      <w:r w:rsidR="00985487"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і сформованої судової практики.</w:t>
      </w:r>
    </w:p>
    <w:p w14:paraId="60CE7F53" w14:textId="2D1F8DAA" w:rsidR="009F4687" w:rsidRPr="009E4EEF" w:rsidRDefault="009F4687" w:rsidP="009E4EEF">
      <w:pPr>
        <w:numPr>
          <w:ilvl w:val="0"/>
          <w:numId w:val="94"/>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Визначаючись щодо фактів, наведених у висновку ГРД, стосовно свавільного встановлення суддею обмежень у праві на мирні зібрання, ухвалення рішення, обумовленого політичними мотивами</w:t>
      </w:r>
      <w:r w:rsidR="000C5AFF"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ігнорування практики Європейського суду з прав людини, Комісія, не вдаючись до оцінки судових рішень, виходить із розуміння ключового принципу незалежності судів, закріпленого в статті 6 Закону.</w:t>
      </w:r>
    </w:p>
    <w:p w14:paraId="6CF773E2" w14:textId="369D3ED3" w:rsidR="009F4687" w:rsidRPr="009E4EEF" w:rsidRDefault="009F4687" w:rsidP="009E4EEF">
      <w:pPr>
        <w:numPr>
          <w:ilvl w:val="0"/>
          <w:numId w:val="95"/>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lastRenderedPageBreak/>
        <w:t>Європейський суд з прав людини неодноразово звертав увагу на таке: для того щоб визначити, чи можна суд вважати «незалежним» у значенні статті 6 § 1 Конвенції про захист прав людини і основоположних свобод, слід враховувати, серед іншого, чи не створює орган видимість незалежності. На переконання Європейського суду з прав людини існує два аспекти незалежності. По-перше, суд повинен бути суб’єктивно вільним від особистих упереджень або упередженості. По-друге, він також повинен бути неупередженим з об’єктивної точки зору, тобто він повинен пропонувати достатні гарантії, щоб виключити будь-які законні сумніви в цьому відношенні. У рамках об’єктивної перевірки має бути визначено, чи існують, окрім особистої поведінки суддів, певні факти, які можуть викликати сумніви щодо їх незалежності. «На карту» поставлено довіру, яку суди в демократичному суспільстві повинні викликати у громадськості та, насамперед, у сторін процесу. Вирішальним є те, чи можна вважати побоювання щодо незалежності суду сторони об’єктивно виправданими (пункти 59–63 рішення Європейського суду з прав людини у справі № 65411/01 «ЄSACILOR LORMINES v. FRANCE»).</w:t>
      </w:r>
    </w:p>
    <w:p w14:paraId="6C25920C" w14:textId="77777777" w:rsidR="009F4687" w:rsidRPr="009E4EEF" w:rsidRDefault="009F4687" w:rsidP="009E4EEF">
      <w:pPr>
        <w:numPr>
          <w:ilvl w:val="0"/>
          <w:numId w:val="9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У пункті 3 Рекомендацій CM/</w:t>
      </w:r>
      <w:proofErr w:type="spellStart"/>
      <w:r w:rsidRPr="009E4EEF">
        <w:rPr>
          <w:rFonts w:ascii="Times New Roman" w:eastAsia="Times New Roman" w:hAnsi="Times New Roman" w:cs="Times New Roman"/>
          <w:color w:val="000000"/>
          <w:sz w:val="24"/>
          <w:szCs w:val="24"/>
          <w:lang w:eastAsia="uk-UA"/>
        </w:rPr>
        <w:t>Rec</w:t>
      </w:r>
      <w:proofErr w:type="spellEnd"/>
      <w:r w:rsidRPr="009E4EEF">
        <w:rPr>
          <w:rFonts w:ascii="Times New Roman" w:eastAsia="Times New Roman" w:hAnsi="Times New Roman" w:cs="Times New Roman"/>
          <w:color w:val="000000"/>
          <w:sz w:val="24"/>
          <w:szCs w:val="24"/>
          <w:lang w:eastAsia="uk-UA"/>
        </w:rPr>
        <w:t xml:space="preserve"> (2010) 12 Комітету Міністрів Ради Європи державам-членам «Щодо суддів: незалежність, ефективність та обов’язки» з посиланням на статтю 6 Конвенції про захист прав людини і основоположних свобод відзначається, що метою забезпечення незалежності судової влади є гарантування кожній особі основоположного права на розгляд справи справедливим судом лише на законній підставі та без будь-якого стороннього впливу.</w:t>
      </w:r>
    </w:p>
    <w:p w14:paraId="7860B464" w14:textId="77777777" w:rsidR="009F4687" w:rsidRPr="009E4EEF" w:rsidRDefault="009F4687" w:rsidP="009E4EEF">
      <w:pPr>
        <w:numPr>
          <w:ilvl w:val="0"/>
          <w:numId w:val="9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Принцип незалежності діє в тісному зв’язку з принципом неупередженості, що відображає позиція Консультативної ради європейських суддів: «Судова незалежність передбачає повну безсторонність з боку суддів. Судовій владі повинні довіряти не лише сторони окремої справи, а й суспільство в цілому. Таким чином, суддя не просто повинен насправді бути вільним від будь-яких зв’язків, </w:t>
      </w:r>
      <w:proofErr w:type="spellStart"/>
      <w:r w:rsidRPr="009E4EEF">
        <w:rPr>
          <w:rFonts w:ascii="Times New Roman" w:eastAsia="Times New Roman" w:hAnsi="Times New Roman" w:cs="Times New Roman"/>
          <w:color w:val="000000"/>
          <w:sz w:val="24"/>
          <w:szCs w:val="24"/>
          <w:lang w:eastAsia="uk-UA"/>
        </w:rPr>
        <w:t>прихильностей</w:t>
      </w:r>
      <w:proofErr w:type="spellEnd"/>
      <w:r w:rsidRPr="009E4EEF">
        <w:rPr>
          <w:rFonts w:ascii="Times New Roman" w:eastAsia="Times New Roman" w:hAnsi="Times New Roman" w:cs="Times New Roman"/>
          <w:color w:val="000000"/>
          <w:sz w:val="24"/>
          <w:szCs w:val="24"/>
          <w:lang w:eastAsia="uk-UA"/>
        </w:rPr>
        <w:t>, упередженості, він чи вона також повинні вважатися вільними від цього з точки зору розсудливого спостерігача. У протилежному випадку довіру до судової влади може бути підірвано» (пункт 12 Висновку № 1 (2001) КРЄС).</w:t>
      </w:r>
    </w:p>
    <w:p w14:paraId="30F55F08" w14:textId="47661989" w:rsidR="009F4687" w:rsidRPr="009E4EEF" w:rsidRDefault="009F4687" w:rsidP="009E4EEF">
      <w:pPr>
        <w:numPr>
          <w:ilvl w:val="0"/>
          <w:numId w:val="9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Таке обмеження є виправданим лише у світлі принципів демократичного суспільства. У рішенні Європейського суду з прав людини у справі «Сергій Кузнєцов проти </w:t>
      </w:r>
      <w:proofErr w:type="spellStart"/>
      <w:r w:rsidRPr="009E4EEF">
        <w:rPr>
          <w:rFonts w:ascii="Times New Roman" w:eastAsia="Times New Roman" w:hAnsi="Times New Roman" w:cs="Times New Roman"/>
          <w:color w:val="000000"/>
          <w:sz w:val="24"/>
          <w:szCs w:val="24"/>
          <w:lang w:eastAsia="uk-UA"/>
        </w:rPr>
        <w:t>росії</w:t>
      </w:r>
      <w:proofErr w:type="spellEnd"/>
      <w:r w:rsidRPr="009E4EEF">
        <w:rPr>
          <w:rFonts w:ascii="Times New Roman" w:eastAsia="Times New Roman" w:hAnsi="Times New Roman" w:cs="Times New Roman"/>
          <w:color w:val="000000"/>
          <w:sz w:val="24"/>
          <w:szCs w:val="24"/>
          <w:lang w:eastAsia="uk-UA"/>
        </w:rPr>
        <w:t>», як і в низці попередніх рішень (у справах «</w:t>
      </w:r>
      <w:proofErr w:type="spellStart"/>
      <w:r w:rsidRPr="009E4EEF">
        <w:rPr>
          <w:rFonts w:ascii="Times New Roman" w:eastAsia="Times New Roman" w:hAnsi="Times New Roman" w:cs="Times New Roman"/>
          <w:color w:val="000000"/>
          <w:sz w:val="24"/>
          <w:szCs w:val="24"/>
          <w:lang w:eastAsia="uk-UA"/>
        </w:rPr>
        <w:t>Галстян</w:t>
      </w:r>
      <w:proofErr w:type="spellEnd"/>
      <w:r w:rsidRPr="009E4EEF">
        <w:rPr>
          <w:rFonts w:ascii="Times New Roman" w:eastAsia="Times New Roman" w:hAnsi="Times New Roman" w:cs="Times New Roman"/>
          <w:color w:val="000000"/>
          <w:sz w:val="24"/>
          <w:szCs w:val="24"/>
          <w:lang w:eastAsia="uk-UA"/>
        </w:rPr>
        <w:t xml:space="preserve"> проти Вірменії», «</w:t>
      </w:r>
      <w:proofErr w:type="spellStart"/>
      <w:r w:rsidRPr="009E4EEF">
        <w:rPr>
          <w:rFonts w:ascii="Times New Roman" w:eastAsia="Times New Roman" w:hAnsi="Times New Roman" w:cs="Times New Roman"/>
          <w:color w:val="000000"/>
          <w:sz w:val="24"/>
          <w:szCs w:val="24"/>
          <w:lang w:eastAsia="uk-UA"/>
        </w:rPr>
        <w:t>Букта</w:t>
      </w:r>
      <w:proofErr w:type="spellEnd"/>
      <w:r w:rsidRPr="009E4EEF">
        <w:rPr>
          <w:rFonts w:ascii="Times New Roman" w:eastAsia="Times New Roman" w:hAnsi="Times New Roman" w:cs="Times New Roman"/>
          <w:color w:val="000000"/>
          <w:sz w:val="24"/>
          <w:szCs w:val="24"/>
          <w:lang w:eastAsia="uk-UA"/>
        </w:rPr>
        <w:t xml:space="preserve"> та інші проти Угорщини», «</w:t>
      </w:r>
      <w:proofErr w:type="spellStart"/>
      <w:r w:rsidRPr="009E4EEF">
        <w:rPr>
          <w:rFonts w:ascii="Times New Roman" w:eastAsia="Times New Roman" w:hAnsi="Times New Roman" w:cs="Times New Roman"/>
          <w:color w:val="000000"/>
          <w:sz w:val="24"/>
          <w:szCs w:val="24"/>
          <w:lang w:eastAsia="uk-UA"/>
        </w:rPr>
        <w:t>Ойя</w:t>
      </w:r>
      <w:proofErr w:type="spellEnd"/>
      <w:r w:rsidRPr="009E4EEF">
        <w:rPr>
          <w:rFonts w:ascii="Times New Roman" w:eastAsia="Times New Roman" w:hAnsi="Times New Roman" w:cs="Times New Roman"/>
          <w:color w:val="000000"/>
          <w:sz w:val="24"/>
          <w:szCs w:val="24"/>
          <w:lang w:eastAsia="uk-UA"/>
        </w:rPr>
        <w:t xml:space="preserve"> </w:t>
      </w:r>
      <w:proofErr w:type="spellStart"/>
      <w:r w:rsidRPr="009E4EEF">
        <w:rPr>
          <w:rFonts w:ascii="Times New Roman" w:eastAsia="Times New Roman" w:hAnsi="Times New Roman" w:cs="Times New Roman"/>
          <w:color w:val="000000"/>
          <w:sz w:val="24"/>
          <w:szCs w:val="24"/>
          <w:lang w:eastAsia="uk-UA"/>
        </w:rPr>
        <w:t>Атаман</w:t>
      </w:r>
      <w:proofErr w:type="spellEnd"/>
      <w:r w:rsidRPr="009E4EEF">
        <w:rPr>
          <w:rFonts w:ascii="Times New Roman" w:eastAsia="Times New Roman" w:hAnsi="Times New Roman" w:cs="Times New Roman"/>
          <w:color w:val="000000"/>
          <w:sz w:val="24"/>
          <w:szCs w:val="24"/>
          <w:lang w:eastAsia="uk-UA"/>
        </w:rPr>
        <w:t xml:space="preserve"> проти Туреччини»), зазначено, що будь-яка демонстрація в громадському місці неминуче порушує звичайний плин життя, включно з порушенням руху громадського транспорту. Органам влади важливо продемонструвати певний рівень терпимості щодо мирних зібрань, оскільки це право, гарантоване статтею</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11</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Конвенції про захист прав людини і основоположних свобод, не повинно втрачати своєї суті.</w:t>
      </w:r>
    </w:p>
    <w:p w14:paraId="504B95BD" w14:textId="022C3198" w:rsidR="009F4687" w:rsidRPr="009E4EEF" w:rsidRDefault="009F4687" w:rsidP="009E4EEF">
      <w:pPr>
        <w:numPr>
          <w:ilvl w:val="0"/>
          <w:numId w:val="9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Керівними принципами свободи мирних зібрань, опублікованими Бюро демократичних інститутів і прав людини та Венеційською комісією Ради Європи в 2010</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році, встановлено, що зібрання проводяться для вираження спільної думки їх учасників та доведення до громадськості певних ідей та послань; якщо застосовуються будь-які обмеження щодо часу, місця або порядку проведення зібрань, повинні бути запропоновані розумні альтернативи (пункти 3.3, 3.4).</w:t>
      </w:r>
    </w:p>
    <w:p w14:paraId="7EBC59B6" w14:textId="20B575F1" w:rsidR="009F4687" w:rsidRPr="009E4EEF" w:rsidRDefault="009F4687" w:rsidP="009E4EEF">
      <w:pPr>
        <w:numPr>
          <w:ilvl w:val="0"/>
          <w:numId w:val="10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Постановою Пленуму Вищого адміністративного суду України від 21</w:t>
      </w:r>
      <w:r w:rsidR="00323427">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травня 2012 року № 6 рекомендовано довести до відома суддів апеляційних та окружних судів Довідку щодо вивчення та узагальнення практики застосування адміністративними судами законодавства під час розгляду та вирішення впродовж 2010‒2011 років справ стосовно реалізації права на мирні зібрання (збори, мітинги, походи, демонстрації тощо). З метою однакового та правильного застосування законодавства під час розгляду та вирішення справ цієї категорії судам необхідно виходити з такого. </w:t>
      </w:r>
    </w:p>
    <w:p w14:paraId="1ACA8418" w14:textId="7BA56737" w:rsidR="009F4687" w:rsidRPr="009E4EEF" w:rsidRDefault="009F4687" w:rsidP="009E4EEF">
      <w:pPr>
        <w:pStyle w:val="a4"/>
        <w:numPr>
          <w:ilvl w:val="1"/>
          <w:numId w:val="118"/>
        </w:numPr>
        <w:shd w:val="clear" w:color="auto" w:fill="FFFFFF"/>
        <w:ind w:left="709" w:firstLine="284"/>
        <w:jc w:val="both"/>
        <w:textAlignment w:val="baseline"/>
        <w:rPr>
          <w:color w:val="000000"/>
          <w:lang w:eastAsia="uk-UA"/>
        </w:rPr>
      </w:pPr>
      <w:r w:rsidRPr="009E4EEF">
        <w:rPr>
          <w:color w:val="000000"/>
          <w:lang w:eastAsia="uk-UA"/>
        </w:rPr>
        <w:t xml:space="preserve">Право на свободу мирних зібрань захищене державою, яка зобов’язана забезпечити його ефективну практичну реалізацію. Обмеження щодо реалізації цього права може встановлюватися тільки судом відповідно до закону і лише в інтересах </w:t>
      </w:r>
      <w:r w:rsidRPr="009E4EEF">
        <w:rPr>
          <w:color w:val="000000"/>
          <w:lang w:eastAsia="uk-UA"/>
        </w:rPr>
        <w:lastRenderedPageBreak/>
        <w:t>національної безпеки та громадського порядку з метою запобігання заворушенням чи злочинам, для охорони здоров’я населення або захисту прав і свобод інших людей.</w:t>
      </w:r>
    </w:p>
    <w:p w14:paraId="663A52A0" w14:textId="23ED5852" w:rsidR="009F4687" w:rsidRPr="009E4EEF" w:rsidRDefault="009F4687" w:rsidP="009E4EEF">
      <w:pPr>
        <w:pStyle w:val="a4"/>
        <w:numPr>
          <w:ilvl w:val="1"/>
          <w:numId w:val="118"/>
        </w:numPr>
        <w:shd w:val="clear" w:color="auto" w:fill="FFFFFF"/>
        <w:ind w:left="709" w:firstLine="284"/>
        <w:jc w:val="both"/>
        <w:textAlignment w:val="baseline"/>
        <w:rPr>
          <w:color w:val="000000"/>
          <w:lang w:eastAsia="uk-UA"/>
        </w:rPr>
      </w:pPr>
      <w:r w:rsidRPr="009E4EEF">
        <w:rPr>
          <w:color w:val="000000"/>
          <w:lang w:eastAsia="uk-UA"/>
        </w:rPr>
        <w:t>Держава повинна вжити всіх можливих заходів до забезпечення здійснення свого права усіма учасниками громадських акцій.</w:t>
      </w:r>
    </w:p>
    <w:p w14:paraId="6680B005" w14:textId="77777777" w:rsidR="009F4687" w:rsidRPr="009E4EEF" w:rsidRDefault="009F4687" w:rsidP="009E4EEF">
      <w:pPr>
        <w:numPr>
          <w:ilvl w:val="1"/>
          <w:numId w:val="118"/>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З огляду на те, що зібрання громадян часто мають на меті привернення уваги певних органів влади до проблем суспільства чи його окремої групи, у зв’язку з чим мають необхідність «бути почутими» саме цими органами та плануються до проведення у місцях їх розташування, не вбачається за правильне встановлення стосовно таких зібрань обмежень щодо місця їх проведення.</w:t>
      </w:r>
    </w:p>
    <w:p w14:paraId="71ED9F3B" w14:textId="77777777" w:rsidR="009F4687" w:rsidRPr="009E4EEF" w:rsidRDefault="009F4687" w:rsidP="009E4EEF">
      <w:pPr>
        <w:numPr>
          <w:ilvl w:val="1"/>
          <w:numId w:val="118"/>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Зважаючи на мету зібрання ‒ «бути почутими», сумнівною виглядає позиція судів, які забороняють проведення мирних зібрань у дні державних та релігійних свят у зв’язку з проведенням у місцях, які планувалися для мирного зібрання, наприклад, заходів зі святкування загальноміського характеру.</w:t>
      </w:r>
    </w:p>
    <w:p w14:paraId="44029E75" w14:textId="77777777" w:rsidR="009F4687" w:rsidRPr="009E4EEF" w:rsidRDefault="009F4687" w:rsidP="009E4EEF">
      <w:pPr>
        <w:numPr>
          <w:ilvl w:val="1"/>
          <w:numId w:val="118"/>
        </w:numPr>
        <w:shd w:val="clear" w:color="auto" w:fill="FFFFFF"/>
        <w:spacing w:after="0" w:line="240" w:lineRule="auto"/>
        <w:ind w:left="709" w:firstLine="284"/>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Судам необхідно брати до уваги, що обов’язок вирішувати відповідно до закону питання щодо проведення зборів, мітингів, маніфестацій і демонстрацій, спортивних, видовищних та інших масових заходів, у тому числі погоджувати з організаторами масових зібрань дату, час, місце, маршрут, умови, тривалість їх проведення, забезпечувати безперешкодне проведення громадянами мирних заходів, здійснювати контроль за забезпеченням під час їх проведення громадського порядку, охороною прав і свобод людей є безпосереднім обов’язком органів місцевого самоврядування, встановленим чинним законодавством України.</w:t>
      </w:r>
    </w:p>
    <w:p w14:paraId="3385CA71" w14:textId="10DCA9E6" w:rsidR="009F4687" w:rsidRPr="009E4EEF" w:rsidRDefault="009F4687" w:rsidP="009E4EEF">
      <w:pPr>
        <w:pStyle w:val="a4"/>
        <w:shd w:val="clear" w:color="auto" w:fill="FFFFFF"/>
        <w:ind w:left="709" w:firstLine="709"/>
        <w:jc w:val="both"/>
        <w:rPr>
          <w:lang w:eastAsia="uk-UA"/>
        </w:rPr>
      </w:pPr>
      <w:r w:rsidRPr="009E4EEF">
        <w:rPr>
          <w:color w:val="000000"/>
          <w:lang w:eastAsia="uk-UA"/>
        </w:rPr>
        <w:t>Ухвалюючи рішення у справах зазначеної категорії, суд повинен перевірити, чи виконали названі органи свій обов’язок щодо забезпечення виконання закону та дотримання прав людини, зокрема стосовно вжиття заходів до забезпечення безперешкодного проведення масового заходу, чи лише скористалися своїм правом на звернення до суду з позовом про встановлення обмежень у реалізації права.</w:t>
      </w:r>
    </w:p>
    <w:p w14:paraId="2EB42605" w14:textId="3B81D358" w:rsidR="009F4687" w:rsidRPr="009E4EEF" w:rsidRDefault="009F4687" w:rsidP="009E4EEF">
      <w:pPr>
        <w:pStyle w:val="a4"/>
        <w:numPr>
          <w:ilvl w:val="1"/>
          <w:numId w:val="118"/>
        </w:numPr>
        <w:shd w:val="clear" w:color="auto" w:fill="FFFFFF"/>
        <w:ind w:left="709" w:firstLine="284"/>
        <w:jc w:val="both"/>
        <w:textAlignment w:val="baseline"/>
        <w:rPr>
          <w:color w:val="000000"/>
          <w:lang w:eastAsia="uk-UA"/>
        </w:rPr>
      </w:pPr>
      <w:r w:rsidRPr="009E4EEF">
        <w:rPr>
          <w:color w:val="000000"/>
          <w:lang w:eastAsia="uk-UA"/>
        </w:rPr>
        <w:t>Єдиною правовою підставою для задоволення позову органів виконавчої влади, органів місцевого самоврядування про обмеження щодо реалізації права на мирні зібрання є визнання судом того факту, що проведення такого заходу може створити реальну небезпеку заворушень чи злочинів, загрозу здоров’ю населення або правам і свободам інших людей. Така небезпека не повинна бути уявною, а ґрунтуватися на конкретних фактах чи даних про наявність реальної загрози інтересам національної безпеки та громадського порядку.</w:t>
      </w:r>
    </w:p>
    <w:p w14:paraId="502366E8" w14:textId="09CD2CE5" w:rsidR="009F4687" w:rsidRPr="009E4EEF" w:rsidRDefault="009F4687" w:rsidP="009E4EEF">
      <w:pPr>
        <w:shd w:val="clear" w:color="auto" w:fill="FFFFFF"/>
        <w:spacing w:after="0" w:line="240" w:lineRule="auto"/>
        <w:ind w:left="709"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Органи виконавчої влади та місцевого самоврядування повинні не просто повідомити про реальні загрози, які можуть виникнути у </w:t>
      </w:r>
      <w:r w:rsidR="00B0179D" w:rsidRPr="009E4EEF">
        <w:rPr>
          <w:rFonts w:ascii="Times New Roman" w:eastAsia="Times New Roman" w:hAnsi="Times New Roman" w:cs="Times New Roman"/>
          <w:color w:val="000000"/>
          <w:sz w:val="24"/>
          <w:szCs w:val="24"/>
          <w:lang w:eastAsia="uk-UA"/>
        </w:rPr>
        <w:t>зв’язку</w:t>
      </w:r>
      <w:r w:rsidRPr="009E4EEF">
        <w:rPr>
          <w:rFonts w:ascii="Times New Roman" w:eastAsia="Times New Roman" w:hAnsi="Times New Roman" w:cs="Times New Roman"/>
          <w:color w:val="000000"/>
          <w:sz w:val="24"/>
          <w:szCs w:val="24"/>
          <w:lang w:eastAsia="uk-UA"/>
        </w:rPr>
        <w:t xml:space="preserve"> з проведенням зібрання, а й надати суду докази, які стали підставою для такого висновку.</w:t>
      </w:r>
    </w:p>
    <w:p w14:paraId="792FAAFE" w14:textId="18FA2A81" w:rsidR="009F4687" w:rsidRPr="009E4EEF" w:rsidRDefault="009F4687" w:rsidP="009E4EEF">
      <w:pPr>
        <w:pStyle w:val="a4"/>
        <w:numPr>
          <w:ilvl w:val="1"/>
          <w:numId w:val="118"/>
        </w:numPr>
        <w:shd w:val="clear" w:color="auto" w:fill="FFFFFF"/>
        <w:ind w:left="709" w:firstLine="284"/>
        <w:jc w:val="both"/>
        <w:rPr>
          <w:lang w:eastAsia="uk-UA"/>
        </w:rPr>
      </w:pPr>
      <w:r w:rsidRPr="009E4EEF">
        <w:rPr>
          <w:color w:val="000000"/>
          <w:lang w:eastAsia="uk-UA"/>
        </w:rPr>
        <w:t>За принципами тлумачення норм міжнародного права щодо реалізації права на свободу мирних зібрань посилання на інтереси національної безпеки для виправдання заходів із обмеження деяких прав за зазначеними принципами можливе лише в разі, коли такі заходи вживаються для захисту існування держави, її територіальної цілісності або політичної незалежності від застосування сили або загрози її застосування. Не вбачається за можливе посилання на інтереси національної безпеки як підставу для введення обмежень з метою попередження лише локальної або відносно ізольованої загрози правопорядку.</w:t>
      </w:r>
    </w:p>
    <w:p w14:paraId="34BFD4E0" w14:textId="46FB4D8B" w:rsidR="009F4687" w:rsidRPr="009E4EEF" w:rsidRDefault="009F4687" w:rsidP="009E4EEF">
      <w:pPr>
        <w:pStyle w:val="a4"/>
        <w:numPr>
          <w:ilvl w:val="1"/>
          <w:numId w:val="118"/>
        </w:numPr>
        <w:shd w:val="clear" w:color="auto" w:fill="FFFFFF"/>
        <w:ind w:left="709" w:firstLine="284"/>
        <w:jc w:val="both"/>
        <w:textAlignment w:val="baseline"/>
        <w:rPr>
          <w:color w:val="000000"/>
          <w:lang w:eastAsia="uk-UA"/>
        </w:rPr>
      </w:pPr>
      <w:r w:rsidRPr="009E4EEF">
        <w:rPr>
          <w:color w:val="000000"/>
          <w:lang w:eastAsia="uk-UA"/>
        </w:rPr>
        <w:t xml:space="preserve">Обмеження, що встановлюються судом щодо реалізації права на мирні зібрання, повинні бути пропорційними до можливих наслідків порушення інтересів національної безпеки та громадського порядку. Суди, застосовуючи передбачені законом обмеження, повинні надавати перевагу тим заходам обмеження, які найменше впливатимуть на реалізацію гарантованого Конституцією права. Такі обмеження повинні застосовуватися з урахуванням конкретних обставин кожної справи, при цьому слід мати на увазі, що заборона на проведення мирного зібрання є найсуворішим </w:t>
      </w:r>
      <w:r w:rsidRPr="009E4EEF">
        <w:rPr>
          <w:color w:val="000000"/>
          <w:lang w:eastAsia="uk-UA"/>
        </w:rPr>
        <w:lastRenderedPageBreak/>
        <w:t>заходом, який застосовується у разі неможливості держави забезпечити реалізацію права на таке зібрання.</w:t>
      </w:r>
    </w:p>
    <w:p w14:paraId="3E565FEE" w14:textId="77777777" w:rsidR="009F4687" w:rsidRPr="009E4EEF" w:rsidRDefault="009F4687" w:rsidP="009E4EEF">
      <w:pPr>
        <w:numPr>
          <w:ilvl w:val="0"/>
          <w:numId w:val="10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Процедура кваліфікаційного оцінювання кандидатів на посади суддів для підтвердження здатності здійснювати правосуддя є особливою процедурою, встановленою Конституцією України. Як підкреслюється в постанові Великої Палати Верховного суду від 04 листопада 2020 року у справі № 200/9195/19-а, вона запроваджена для посилення відповідальності судової влади перед суспільством, для запровадження належних конституційних засад кадрового оновлення суддівського корпусу та обумовлена істотною метою, що полягала у відновленні довіри до судової влади в Україні. </w:t>
      </w:r>
    </w:p>
    <w:p w14:paraId="12AAFD0A" w14:textId="12DF6F25" w:rsidR="009F4687" w:rsidRPr="009E4EEF" w:rsidRDefault="009F4687" w:rsidP="009E4EEF">
      <w:pPr>
        <w:numPr>
          <w:ilvl w:val="0"/>
          <w:numId w:val="10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Ухвалюючи судові рішення, які фактично обмежували право на мирні зібрання</w:t>
      </w:r>
      <w:r w:rsidR="00D50210"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коли суспільство особливо потребувало від суду прояву найвищих стандартів неупередженості та незалежності, суддя, «говорячи через свої рішення», не продемонстрував належного рівня внутрішньої незалежності. </w:t>
      </w:r>
    </w:p>
    <w:p w14:paraId="44BA185D" w14:textId="040CE8DC" w:rsidR="009F4687" w:rsidRPr="00323427" w:rsidRDefault="00D50210" w:rsidP="009E4EEF">
      <w:pPr>
        <w:numPr>
          <w:ilvl w:val="0"/>
          <w:numId w:val="103"/>
        </w:num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uk-UA"/>
        </w:rPr>
      </w:pPr>
      <w:r w:rsidRPr="00323427">
        <w:rPr>
          <w:rFonts w:ascii="Times New Roman" w:eastAsia="Times New Roman" w:hAnsi="Times New Roman" w:cs="Times New Roman"/>
          <w:color w:val="000000" w:themeColor="text1"/>
          <w:sz w:val="24"/>
          <w:szCs w:val="24"/>
          <w:lang w:eastAsia="uk-UA"/>
        </w:rPr>
        <w:t>Отже</w:t>
      </w:r>
      <w:r w:rsidR="009F4687" w:rsidRPr="00323427">
        <w:rPr>
          <w:rFonts w:ascii="Times New Roman" w:eastAsia="Times New Roman" w:hAnsi="Times New Roman" w:cs="Times New Roman"/>
          <w:color w:val="000000" w:themeColor="text1"/>
          <w:sz w:val="24"/>
          <w:szCs w:val="24"/>
          <w:lang w:eastAsia="uk-UA"/>
        </w:rPr>
        <w:t xml:space="preserve">, Комісія у складі Першої палати одноголосно вирішила зменшити бали за критерієм професійної етики та доброчесності на 15 балів за показниками «сумлінність» та </w:t>
      </w:r>
      <w:r w:rsidR="00123FB1" w:rsidRPr="00323427">
        <w:rPr>
          <w:rFonts w:ascii="Times New Roman" w:eastAsia="Times New Roman" w:hAnsi="Times New Roman" w:cs="Times New Roman"/>
          <w:color w:val="000000" w:themeColor="text1"/>
          <w:sz w:val="24"/>
          <w:szCs w:val="24"/>
          <w:lang w:eastAsia="uk-UA"/>
        </w:rPr>
        <w:t>«</w:t>
      </w:r>
      <w:r w:rsidR="009F4687" w:rsidRPr="00323427">
        <w:rPr>
          <w:rFonts w:ascii="Times New Roman" w:eastAsia="Times New Roman" w:hAnsi="Times New Roman" w:cs="Times New Roman"/>
          <w:color w:val="000000" w:themeColor="text1"/>
          <w:sz w:val="24"/>
          <w:szCs w:val="24"/>
          <w:lang w:eastAsia="uk-UA"/>
        </w:rPr>
        <w:t>незалежність</w:t>
      </w:r>
      <w:r w:rsidR="00123FB1" w:rsidRPr="00323427">
        <w:rPr>
          <w:rFonts w:ascii="Times New Roman" w:eastAsia="Times New Roman" w:hAnsi="Times New Roman" w:cs="Times New Roman"/>
          <w:color w:val="000000" w:themeColor="text1"/>
          <w:sz w:val="24"/>
          <w:szCs w:val="24"/>
          <w:lang w:eastAsia="uk-UA"/>
        </w:rPr>
        <w:t>»</w:t>
      </w:r>
      <w:r w:rsidR="009F4687" w:rsidRPr="00323427">
        <w:rPr>
          <w:rFonts w:ascii="Times New Roman" w:eastAsia="Times New Roman" w:hAnsi="Times New Roman" w:cs="Times New Roman"/>
          <w:color w:val="000000" w:themeColor="text1"/>
          <w:sz w:val="24"/>
          <w:szCs w:val="24"/>
          <w:lang w:eastAsia="uk-UA"/>
        </w:rPr>
        <w:t>.</w:t>
      </w:r>
    </w:p>
    <w:p w14:paraId="32457650" w14:textId="77777777" w:rsidR="009F4687" w:rsidRPr="00323427" w:rsidRDefault="009F4687" w:rsidP="009E4EEF">
      <w:pPr>
        <w:numPr>
          <w:ilvl w:val="0"/>
          <w:numId w:val="104"/>
        </w:numPr>
        <w:spacing w:after="0" w:line="240" w:lineRule="auto"/>
        <w:ind w:firstLine="709"/>
        <w:jc w:val="both"/>
        <w:textAlignment w:val="baseline"/>
        <w:rPr>
          <w:rFonts w:ascii="Times New Roman" w:eastAsia="Times New Roman" w:hAnsi="Times New Roman" w:cs="Times New Roman"/>
          <w:color w:val="000000" w:themeColor="text1"/>
          <w:sz w:val="24"/>
          <w:szCs w:val="24"/>
          <w:lang w:eastAsia="uk-UA"/>
        </w:rPr>
      </w:pPr>
      <w:r w:rsidRPr="00323427">
        <w:rPr>
          <w:rFonts w:ascii="Times New Roman" w:eastAsia="Times New Roman" w:hAnsi="Times New Roman" w:cs="Times New Roman"/>
          <w:color w:val="000000" w:themeColor="text1"/>
          <w:sz w:val="24"/>
          <w:szCs w:val="24"/>
          <w:shd w:val="clear" w:color="auto" w:fill="FFFFFF"/>
          <w:lang w:eastAsia="uk-UA"/>
        </w:rPr>
        <w:t>Чесність – правдивість, принциповість, щирість судді (кандидата на посаду судді) у професійній діяльності та особистому житті (пункт 18 Єдиних показників).</w:t>
      </w:r>
    </w:p>
    <w:p w14:paraId="2DD89C54" w14:textId="3C53B310" w:rsidR="009F4687" w:rsidRPr="00323427" w:rsidRDefault="009F4687" w:rsidP="009E4EEF">
      <w:pPr>
        <w:numPr>
          <w:ilvl w:val="0"/>
          <w:numId w:val="105"/>
        </w:num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4"/>
          <w:szCs w:val="24"/>
          <w:lang w:eastAsia="uk-UA"/>
        </w:rPr>
      </w:pPr>
      <w:r w:rsidRPr="00323427">
        <w:rPr>
          <w:rFonts w:ascii="Times New Roman" w:eastAsia="Times New Roman" w:hAnsi="Times New Roman" w:cs="Times New Roman"/>
          <w:color w:val="000000" w:themeColor="text1"/>
          <w:sz w:val="24"/>
          <w:szCs w:val="24"/>
          <w:lang w:eastAsia="uk-UA"/>
        </w:rPr>
        <w:t>В</w:t>
      </w:r>
      <w:r w:rsidRPr="00323427">
        <w:rPr>
          <w:rFonts w:ascii="Times New Roman" w:eastAsia="Times New Roman" w:hAnsi="Times New Roman" w:cs="Times New Roman"/>
          <w:color w:val="000000" w:themeColor="text1"/>
          <w:sz w:val="24"/>
          <w:szCs w:val="24"/>
          <w:shd w:val="clear" w:color="auto" w:fill="FFFFFF"/>
          <w:lang w:eastAsia="uk-UA"/>
        </w:rPr>
        <w:t xml:space="preserve">ідповідно до підпункту 3 пункту 18 Єдиних показників </w:t>
      </w:r>
      <w:r w:rsidRPr="00323427">
        <w:rPr>
          <w:rFonts w:ascii="Times New Roman" w:eastAsia="Times New Roman" w:hAnsi="Times New Roman" w:cs="Times New Roman"/>
          <w:color w:val="000000" w:themeColor="text1"/>
          <w:sz w:val="24"/>
          <w:szCs w:val="24"/>
          <w:lang w:eastAsia="uk-UA"/>
        </w:rPr>
        <w:t xml:space="preserve">кандидат на посаду судді відповідає показнику чесності, якщо зокрема, але не виключно </w:t>
      </w:r>
      <w:r w:rsidRPr="00323427">
        <w:rPr>
          <w:rFonts w:ascii="Times New Roman" w:eastAsia="Times New Roman" w:hAnsi="Times New Roman" w:cs="Times New Roman"/>
          <w:color w:val="000000" w:themeColor="text1"/>
          <w:sz w:val="24"/>
          <w:szCs w:val="24"/>
          <w:shd w:val="clear" w:color="auto" w:fill="FFFFFF"/>
          <w:lang w:eastAsia="uk-UA"/>
        </w:rPr>
        <w:t>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14:paraId="69F1FE02" w14:textId="2413A741" w:rsidR="009F4687" w:rsidRPr="009E4EEF" w:rsidRDefault="009F4687" w:rsidP="009E4EEF">
      <w:pPr>
        <w:numPr>
          <w:ilvl w:val="0"/>
          <w:numId w:val="106"/>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у листі до Комісії зазначив, що системно аналізує практику Європейського суду з прав людини (далі – ЄСПЛ)</w:t>
      </w:r>
      <w:r w:rsidR="00D76E1A"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Конституційного суду України та Верховного Суду з метою ефективного функціонування в умовах змін, що свідчить про його безперервний розвиток. Проте навести приклад аналізу </w:t>
      </w:r>
      <w:r w:rsidR="00D76E1A" w:rsidRPr="009E4EEF">
        <w:rPr>
          <w:rFonts w:ascii="Times New Roman" w:eastAsia="Times New Roman" w:hAnsi="Times New Roman" w:cs="Times New Roman"/>
          <w:color w:val="000000"/>
          <w:sz w:val="24"/>
          <w:szCs w:val="24"/>
          <w:lang w:eastAsia="uk-UA"/>
        </w:rPr>
        <w:t xml:space="preserve">будь-якого </w:t>
      </w:r>
      <w:r w:rsidRPr="009E4EEF">
        <w:rPr>
          <w:rFonts w:ascii="Times New Roman" w:eastAsia="Times New Roman" w:hAnsi="Times New Roman" w:cs="Times New Roman"/>
          <w:color w:val="000000"/>
          <w:sz w:val="24"/>
          <w:szCs w:val="24"/>
          <w:lang w:eastAsia="uk-UA"/>
        </w:rPr>
        <w:t>рішен</w:t>
      </w:r>
      <w:r w:rsidR="00D76E1A" w:rsidRPr="009E4EEF">
        <w:rPr>
          <w:rFonts w:ascii="Times New Roman" w:eastAsia="Times New Roman" w:hAnsi="Times New Roman" w:cs="Times New Roman"/>
          <w:color w:val="000000"/>
          <w:sz w:val="24"/>
          <w:szCs w:val="24"/>
          <w:lang w:eastAsia="uk-UA"/>
        </w:rPr>
        <w:t>ня</w:t>
      </w:r>
      <w:r w:rsidRPr="009E4EEF">
        <w:rPr>
          <w:rFonts w:ascii="Times New Roman" w:eastAsia="Times New Roman" w:hAnsi="Times New Roman" w:cs="Times New Roman"/>
          <w:color w:val="000000"/>
          <w:sz w:val="24"/>
          <w:szCs w:val="24"/>
          <w:lang w:eastAsia="uk-UA"/>
        </w:rPr>
        <w:t xml:space="preserve"> кандидат не зміг.</w:t>
      </w:r>
      <w:r w:rsidR="00123FB1" w:rsidRPr="009E4EEF">
        <w:rPr>
          <w:rFonts w:ascii="Times New Roman" w:eastAsia="Times New Roman" w:hAnsi="Times New Roman" w:cs="Times New Roman"/>
          <w:color w:val="000000"/>
          <w:sz w:val="24"/>
          <w:szCs w:val="24"/>
          <w:lang w:eastAsia="uk-UA"/>
        </w:rPr>
        <w:t xml:space="preserve"> </w:t>
      </w:r>
    </w:p>
    <w:p w14:paraId="03AA751D" w14:textId="68B1372E" w:rsidR="009F4687" w:rsidRPr="009E4EEF" w:rsidRDefault="009F4687" w:rsidP="009E4EEF">
      <w:pPr>
        <w:numPr>
          <w:ilvl w:val="0"/>
          <w:numId w:val="107"/>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Суддя, як правило, вивчає практику Європейського суду з прав людини для кращого розуміння та застосування положень Європейської конвенції з прав людини у конкретних справах. Практика ЄСПЛ </w:t>
      </w:r>
      <w:r w:rsidR="00D76E1A" w:rsidRPr="009E4EEF">
        <w:rPr>
          <w:rFonts w:ascii="Times New Roman" w:eastAsia="Times New Roman" w:hAnsi="Times New Roman" w:cs="Times New Roman"/>
          <w:color w:val="000000"/>
          <w:sz w:val="24"/>
          <w:szCs w:val="24"/>
          <w:lang w:eastAsia="uk-UA"/>
        </w:rPr>
        <w:t>–</w:t>
      </w:r>
      <w:r w:rsidRPr="009E4EEF">
        <w:rPr>
          <w:rFonts w:ascii="Times New Roman" w:eastAsia="Times New Roman" w:hAnsi="Times New Roman" w:cs="Times New Roman"/>
          <w:color w:val="000000"/>
          <w:sz w:val="24"/>
          <w:szCs w:val="24"/>
          <w:lang w:eastAsia="uk-UA"/>
        </w:rPr>
        <w:t xml:space="preserve"> це важливе джерело права, що складається з рішень Суду, які спрямовані на захист прав та свобод людини.</w:t>
      </w:r>
    </w:p>
    <w:p w14:paraId="3D5B799B" w14:textId="77A86FD5" w:rsidR="009F4687" w:rsidRPr="009E4EEF" w:rsidRDefault="009F4687" w:rsidP="009E4EEF">
      <w:pPr>
        <w:numPr>
          <w:ilvl w:val="0"/>
          <w:numId w:val="108"/>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shd w:val="clear" w:color="auto" w:fill="FFFFFF"/>
          <w:lang w:eastAsia="uk-UA"/>
        </w:rPr>
        <w:t>ЄСПЛ тлумачить норми Конвенції про захист прав людини і це тлумачення може бути важливим для суддів, особливо коли національне законодавство має нечіткі норми.</w:t>
      </w:r>
    </w:p>
    <w:p w14:paraId="7954FF41" w14:textId="4191A26F" w:rsidR="009F4687" w:rsidRPr="009E4EEF" w:rsidRDefault="009F4687" w:rsidP="009E4EEF">
      <w:pPr>
        <w:numPr>
          <w:ilvl w:val="0"/>
          <w:numId w:val="109"/>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Водночас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А.І. під час співбесіди не зміг навести приклади, яким чином ним системно аналізуються рішення ЄСПЛ. Це ставить під сумнів «чесність» судді у вивченні та застосуванні практики Європейського суду з прав людини.</w:t>
      </w:r>
    </w:p>
    <w:p w14:paraId="4CD1598C" w14:textId="77777777" w:rsidR="009F4687" w:rsidRPr="009E4EEF" w:rsidRDefault="009F4687" w:rsidP="009E4EEF">
      <w:pPr>
        <w:numPr>
          <w:ilvl w:val="0"/>
          <w:numId w:val="110"/>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Комісія у складі Першої палати одноголосно вирішила зменшити бали кандидата за критерієм професійної етики та доброчесності на 15 балів за показником «чесність».</w:t>
      </w:r>
    </w:p>
    <w:p w14:paraId="1665304C" w14:textId="413D8EA3" w:rsidR="009F4687" w:rsidRPr="009E4EEF" w:rsidRDefault="009F4687" w:rsidP="009E4EEF">
      <w:pPr>
        <w:numPr>
          <w:ilvl w:val="0"/>
          <w:numId w:val="111"/>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shd w:val="clear" w:color="auto" w:fill="FFFFFF"/>
          <w:lang w:eastAsia="uk-UA"/>
        </w:rPr>
        <w:t xml:space="preserve">Стосовно ухвалення суддею рішень під час перебування на навчанні суддя пояснив, що був на робочому місці </w:t>
      </w:r>
      <w:r w:rsidR="002206BC" w:rsidRPr="009E4EEF">
        <w:rPr>
          <w:rFonts w:ascii="Times New Roman" w:eastAsia="Times New Roman" w:hAnsi="Times New Roman" w:cs="Times New Roman"/>
          <w:color w:val="000000"/>
          <w:sz w:val="24"/>
          <w:szCs w:val="24"/>
          <w:shd w:val="clear" w:color="auto" w:fill="FFFFFF"/>
          <w:lang w:eastAsia="uk-UA"/>
        </w:rPr>
        <w:t>і</w:t>
      </w:r>
      <w:r w:rsidRPr="009E4EEF">
        <w:rPr>
          <w:rFonts w:ascii="Times New Roman" w:eastAsia="Times New Roman" w:hAnsi="Times New Roman" w:cs="Times New Roman"/>
          <w:color w:val="000000"/>
          <w:sz w:val="24"/>
          <w:szCs w:val="24"/>
          <w:shd w:val="clear" w:color="auto" w:fill="FFFFFF"/>
          <w:lang w:eastAsia="uk-UA"/>
        </w:rPr>
        <w:t xml:space="preserve"> на нього </w:t>
      </w:r>
      <w:r w:rsidR="002206BC" w:rsidRPr="009E4EEF">
        <w:rPr>
          <w:rFonts w:ascii="Times New Roman" w:eastAsia="Times New Roman" w:hAnsi="Times New Roman" w:cs="Times New Roman"/>
          <w:color w:val="000000"/>
          <w:sz w:val="24"/>
          <w:szCs w:val="24"/>
          <w:shd w:val="clear" w:color="auto" w:fill="FFFFFF"/>
          <w:lang w:eastAsia="uk-UA"/>
        </w:rPr>
        <w:t>розподілялися справи</w:t>
      </w:r>
      <w:r w:rsidRPr="009E4EEF">
        <w:rPr>
          <w:rFonts w:ascii="Times New Roman" w:eastAsia="Times New Roman" w:hAnsi="Times New Roman" w:cs="Times New Roman"/>
          <w:color w:val="000000"/>
          <w:sz w:val="24"/>
          <w:szCs w:val="24"/>
          <w:shd w:val="clear" w:color="auto" w:fill="FFFFFF"/>
          <w:lang w:eastAsia="uk-UA"/>
        </w:rPr>
        <w:t xml:space="preserve"> автоматизован</w:t>
      </w:r>
      <w:r w:rsidR="002206BC" w:rsidRPr="009E4EEF">
        <w:rPr>
          <w:rFonts w:ascii="Times New Roman" w:eastAsia="Times New Roman" w:hAnsi="Times New Roman" w:cs="Times New Roman"/>
          <w:color w:val="000000"/>
          <w:sz w:val="24"/>
          <w:szCs w:val="24"/>
          <w:shd w:val="clear" w:color="auto" w:fill="FFFFFF"/>
          <w:lang w:eastAsia="uk-UA"/>
        </w:rPr>
        <w:t>ою</w:t>
      </w:r>
      <w:r w:rsidRPr="009E4EEF">
        <w:rPr>
          <w:rFonts w:ascii="Times New Roman" w:eastAsia="Times New Roman" w:hAnsi="Times New Roman" w:cs="Times New Roman"/>
          <w:color w:val="000000"/>
          <w:sz w:val="24"/>
          <w:szCs w:val="24"/>
          <w:shd w:val="clear" w:color="auto" w:fill="FFFFFF"/>
          <w:lang w:eastAsia="uk-UA"/>
        </w:rPr>
        <w:t xml:space="preserve"> </w:t>
      </w:r>
      <w:r w:rsidR="002206BC" w:rsidRPr="009E4EEF">
        <w:rPr>
          <w:rFonts w:ascii="Times New Roman" w:eastAsia="Times New Roman" w:hAnsi="Times New Roman" w:cs="Times New Roman"/>
          <w:color w:val="000000"/>
          <w:sz w:val="24"/>
          <w:szCs w:val="24"/>
          <w:shd w:val="clear" w:color="auto" w:fill="FFFFFF"/>
          <w:lang w:eastAsia="uk-UA"/>
        </w:rPr>
        <w:t>системою</w:t>
      </w:r>
      <w:r w:rsidRPr="009E4EEF">
        <w:rPr>
          <w:rFonts w:ascii="Times New Roman" w:eastAsia="Times New Roman" w:hAnsi="Times New Roman" w:cs="Times New Roman"/>
          <w:color w:val="000000"/>
          <w:sz w:val="24"/>
          <w:szCs w:val="24"/>
          <w:shd w:val="clear" w:color="auto" w:fill="FFFFFF"/>
          <w:lang w:eastAsia="uk-UA"/>
        </w:rPr>
        <w:t>, що підтверджується інформацією з суду. </w:t>
      </w:r>
    </w:p>
    <w:p w14:paraId="42FA7E52" w14:textId="7195D8C8" w:rsidR="009F4687" w:rsidRPr="009E4EEF" w:rsidRDefault="009F4687" w:rsidP="009E4EEF">
      <w:pPr>
        <w:numPr>
          <w:ilvl w:val="0"/>
          <w:numId w:val="112"/>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shd w:val="clear" w:color="auto" w:fill="FFFFFF"/>
          <w:lang w:eastAsia="uk-UA"/>
        </w:rPr>
        <w:t>Враховуючи пояснення судді та долучені до досьє документи</w:t>
      </w:r>
      <w:r w:rsidR="0037299C" w:rsidRPr="009E4EEF">
        <w:rPr>
          <w:rFonts w:ascii="Times New Roman" w:eastAsia="Times New Roman" w:hAnsi="Times New Roman" w:cs="Times New Roman"/>
          <w:color w:val="000000"/>
          <w:sz w:val="24"/>
          <w:szCs w:val="24"/>
          <w:shd w:val="clear" w:color="auto" w:fill="FFFFFF"/>
          <w:lang w:eastAsia="uk-UA"/>
        </w:rPr>
        <w:t>,</w:t>
      </w:r>
      <w:r w:rsidRPr="009E4EEF">
        <w:rPr>
          <w:rFonts w:ascii="Times New Roman" w:eastAsia="Times New Roman" w:hAnsi="Times New Roman" w:cs="Times New Roman"/>
          <w:color w:val="000000"/>
          <w:sz w:val="24"/>
          <w:szCs w:val="24"/>
          <w:shd w:val="clear" w:color="auto" w:fill="FFFFFF"/>
          <w:lang w:eastAsia="uk-UA"/>
        </w:rPr>
        <w:t xml:space="preserve"> Комісія вважає інформацію ГРД в цій частині спростованою.</w:t>
      </w:r>
    </w:p>
    <w:p w14:paraId="1ECCD7CC" w14:textId="3D811D97" w:rsidR="009F4687" w:rsidRPr="009E4EEF" w:rsidRDefault="009F4687" w:rsidP="009E4EEF">
      <w:pPr>
        <w:numPr>
          <w:ilvl w:val="0"/>
          <w:numId w:val="113"/>
        </w:num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сумарний бал, отриманий за цими критеріями, становить 225 балів із 300 можливих, що дорівнює 75% (225 балів) максимально можливого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 а тому Комісія виснує, що кандидат відповідає критерію професійної етики та доброчесності.</w:t>
      </w:r>
    </w:p>
    <w:p w14:paraId="1D58F83C" w14:textId="77777777" w:rsidR="00E72CBA" w:rsidRPr="009E4EEF" w:rsidRDefault="00E72CBA" w:rsidP="009E4EEF">
      <w:pPr>
        <w:shd w:val="clear" w:color="auto" w:fill="FFFFFF"/>
        <w:spacing w:after="0" w:line="240" w:lineRule="auto"/>
        <w:ind w:left="709"/>
        <w:jc w:val="both"/>
        <w:textAlignment w:val="baseline"/>
        <w:rPr>
          <w:rFonts w:ascii="Times New Roman" w:eastAsia="Times New Roman" w:hAnsi="Times New Roman" w:cs="Times New Roman"/>
          <w:color w:val="000000"/>
          <w:sz w:val="24"/>
          <w:szCs w:val="24"/>
          <w:lang w:eastAsia="uk-UA"/>
        </w:rPr>
      </w:pPr>
    </w:p>
    <w:p w14:paraId="337F75F1" w14:textId="7937C91F" w:rsidR="009F4687" w:rsidRPr="009E4EEF" w:rsidRDefault="009F4687" w:rsidP="009E4EEF">
      <w:pPr>
        <w:shd w:val="clear" w:color="auto" w:fill="FFFFFF"/>
        <w:spacing w:after="0" w:line="240" w:lineRule="auto"/>
        <w:ind w:left="709"/>
        <w:jc w:val="both"/>
        <w:rPr>
          <w:rFonts w:ascii="Times New Roman" w:eastAsia="Times New Roman" w:hAnsi="Times New Roman" w:cs="Times New Roman"/>
          <w:b/>
          <w:bCs/>
          <w:color w:val="000000"/>
          <w:sz w:val="24"/>
          <w:szCs w:val="24"/>
          <w:lang w:eastAsia="uk-UA"/>
        </w:rPr>
      </w:pPr>
      <w:r w:rsidRPr="009E4EEF">
        <w:rPr>
          <w:rFonts w:ascii="Times New Roman" w:eastAsia="Times New Roman" w:hAnsi="Times New Roman" w:cs="Times New Roman"/>
          <w:b/>
          <w:bCs/>
          <w:color w:val="000000"/>
          <w:sz w:val="24"/>
          <w:szCs w:val="24"/>
          <w:lang w:eastAsia="uk-UA"/>
        </w:rPr>
        <w:lastRenderedPageBreak/>
        <w:t>VІ. Висновки за результатами кваліфікаційного оцінювання.</w:t>
      </w:r>
    </w:p>
    <w:p w14:paraId="6C2B945C" w14:textId="77777777" w:rsidR="00E72CBA" w:rsidRPr="009E4EEF" w:rsidRDefault="00E72CBA" w:rsidP="009E4EEF">
      <w:pPr>
        <w:shd w:val="clear" w:color="auto" w:fill="FFFFFF"/>
        <w:spacing w:after="0" w:line="240" w:lineRule="auto"/>
        <w:ind w:left="709"/>
        <w:jc w:val="both"/>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008"/>
        <w:gridCol w:w="4139"/>
        <w:gridCol w:w="1742"/>
        <w:gridCol w:w="1721"/>
      </w:tblGrid>
      <w:tr w:rsidR="009F4687" w:rsidRPr="009E4EEF" w14:paraId="6B030435" w14:textId="77777777" w:rsidTr="009F4687">
        <w:tc>
          <w:tcPr>
            <w:tcW w:w="0" w:type="auto"/>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hideMark/>
          </w:tcPr>
          <w:p w14:paraId="3BDC674F"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КРИТЕРІЇ</w:t>
            </w:r>
          </w:p>
        </w:tc>
        <w:tc>
          <w:tcPr>
            <w:tcW w:w="0" w:type="auto"/>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hideMark/>
          </w:tcPr>
          <w:p w14:paraId="1174037D"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ПОКАЗНИКИ</w:t>
            </w:r>
          </w:p>
        </w:tc>
        <w:tc>
          <w:tcPr>
            <w:tcW w:w="0" w:type="auto"/>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hideMark/>
          </w:tcPr>
          <w:p w14:paraId="2AB69852"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РЕЗУЛЬТАТ </w:t>
            </w:r>
            <w:r w:rsidRPr="009E4EEF">
              <w:rPr>
                <w:rFonts w:ascii="Times New Roman" w:eastAsia="Times New Roman" w:hAnsi="Times New Roman" w:cs="Times New Roman"/>
                <w:b/>
                <w:bCs/>
                <w:color w:val="000000"/>
                <w:sz w:val="24"/>
                <w:szCs w:val="24"/>
                <w:lang w:eastAsia="uk-UA"/>
              </w:rPr>
              <w:br/>
              <w:t>(за показником)</w:t>
            </w:r>
          </w:p>
        </w:tc>
        <w:tc>
          <w:tcPr>
            <w:tcW w:w="0" w:type="auto"/>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hideMark/>
          </w:tcPr>
          <w:p w14:paraId="39FE4753"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b/>
                <w:bCs/>
                <w:color w:val="000000"/>
                <w:sz w:val="24"/>
                <w:szCs w:val="24"/>
                <w:lang w:eastAsia="uk-UA"/>
              </w:rPr>
              <w:t>РЕЗУЛЬТАТ </w:t>
            </w:r>
            <w:r w:rsidRPr="009E4EEF">
              <w:rPr>
                <w:rFonts w:ascii="Times New Roman" w:eastAsia="Times New Roman" w:hAnsi="Times New Roman" w:cs="Times New Roman"/>
                <w:b/>
                <w:bCs/>
                <w:color w:val="000000"/>
                <w:sz w:val="24"/>
                <w:szCs w:val="24"/>
                <w:lang w:eastAsia="uk-UA"/>
              </w:rPr>
              <w:br/>
              <w:t>(за критерієм)</w:t>
            </w:r>
          </w:p>
        </w:tc>
      </w:tr>
      <w:tr w:rsidR="009F4687" w:rsidRPr="009E4EEF" w14:paraId="10A96B69" w14:textId="77777777" w:rsidTr="009F4687">
        <w:tc>
          <w:tcPr>
            <w:tcW w:w="0" w:type="auto"/>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14:paraId="6DC542E9"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Професійна компетентність</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4E6F2"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когнітивних здібностей</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CA6F6"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46,3</w:t>
            </w:r>
          </w:p>
        </w:tc>
        <w:tc>
          <w:tcPr>
            <w:tcW w:w="0" w:type="auto"/>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14:paraId="39DDE510" w14:textId="4AAF3981"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335,3</w:t>
            </w:r>
          </w:p>
        </w:tc>
      </w:tr>
      <w:tr w:rsidR="009F4687" w:rsidRPr="009E4EEF" w14:paraId="657F9828"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4E8A516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156A6"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знання історії української державності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45F8AB"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40</w:t>
            </w: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2761943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70BB81AE"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6AFD2DB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0AB7E"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знання у сфері права та спеціалізації суду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FAFC2"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134</w:t>
            </w: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211654A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4E72EF03"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646AF4A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7639BCCE"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14:paraId="200D25DF"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115</w:t>
            </w: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3372996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653CAFD7" w14:textId="77777777" w:rsidTr="009F4687">
        <w:tc>
          <w:tcPr>
            <w:tcW w:w="0" w:type="auto"/>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14:paraId="2A48189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Особиста компетентність</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40BCF"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рішучість та відповідальність</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A5CB76"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16,67</w:t>
            </w:r>
          </w:p>
        </w:tc>
        <w:tc>
          <w:tcPr>
            <w:tcW w:w="0" w:type="auto"/>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14:paraId="387B1761"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30,33</w:t>
            </w:r>
          </w:p>
        </w:tc>
      </w:tr>
      <w:tr w:rsidR="009F4687" w:rsidRPr="009E4EEF" w14:paraId="3BE0F55F"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6432AF8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0783F75B"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безперервний розвиток</w:t>
            </w: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14:paraId="6CB50B76"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13,67</w:t>
            </w: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7885B0EA"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506DB105" w14:textId="77777777" w:rsidTr="009F4687">
        <w:tc>
          <w:tcPr>
            <w:tcW w:w="0" w:type="auto"/>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14:paraId="40321AC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Соціальна компетентність</w:t>
            </w:r>
          </w:p>
          <w:p w14:paraId="5D3AE36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35B82"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ефективна комунікація</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A69AF"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w:t>
            </w:r>
          </w:p>
        </w:tc>
        <w:tc>
          <w:tcPr>
            <w:tcW w:w="0" w:type="auto"/>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14:paraId="69C54825"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35</w:t>
            </w:r>
          </w:p>
        </w:tc>
      </w:tr>
      <w:tr w:rsidR="009F4687" w:rsidRPr="009E4EEF" w14:paraId="7C034B08"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1B2CF72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1F041"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ефективна взаємодія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AAEB9"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7,67</w:t>
            </w: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444DE97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42B30DB4"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25625DF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30C8"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стійкість мотивації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4B4C03"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9,67</w:t>
            </w: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3CAFE36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7FB7BE9E"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6A2189D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23B1893F"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емоційна стійкість</w:t>
            </w: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14:paraId="6CEAF9B2"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10,67</w:t>
            </w:r>
          </w:p>
          <w:p w14:paraId="0D7A0A44"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1DE89C0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28ED7619" w14:textId="77777777" w:rsidTr="009F4687">
        <w:tc>
          <w:tcPr>
            <w:tcW w:w="0" w:type="auto"/>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14:paraId="4718A51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Доброчесність та професійна етика</w:t>
            </w:r>
          </w:p>
        </w:tc>
        <w:tc>
          <w:tcPr>
            <w:tcW w:w="0" w:type="auto"/>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145C9"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Незалежність</w:t>
            </w:r>
          </w:p>
        </w:tc>
        <w:tc>
          <w:tcPr>
            <w:tcW w:w="0" w:type="auto"/>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hideMark/>
          </w:tcPr>
          <w:p w14:paraId="555EE3D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14:paraId="3458B02A"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255</w:t>
            </w:r>
          </w:p>
          <w:p w14:paraId="496B000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20A27C49"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38D8573A"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7241C"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Чесність</w:t>
            </w:r>
          </w:p>
        </w:tc>
        <w:tc>
          <w:tcPr>
            <w:tcW w:w="0" w:type="auto"/>
            <w:vMerge/>
            <w:tcBorders>
              <w:top w:val="single" w:sz="18" w:space="0" w:color="000000"/>
              <w:left w:val="single" w:sz="4" w:space="0" w:color="000000"/>
              <w:bottom w:val="single" w:sz="18" w:space="0" w:color="000000"/>
              <w:right w:val="single" w:sz="4" w:space="0" w:color="000000"/>
            </w:tcBorders>
            <w:vAlign w:val="center"/>
            <w:hideMark/>
          </w:tcPr>
          <w:p w14:paraId="6751306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30BB687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0F61A8D1"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1486D01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8E3F6"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Неупередженість</w:t>
            </w:r>
          </w:p>
        </w:tc>
        <w:tc>
          <w:tcPr>
            <w:tcW w:w="0" w:type="auto"/>
            <w:vMerge/>
            <w:tcBorders>
              <w:top w:val="single" w:sz="18" w:space="0" w:color="000000"/>
              <w:left w:val="single" w:sz="4" w:space="0" w:color="000000"/>
              <w:bottom w:val="single" w:sz="18" w:space="0" w:color="000000"/>
              <w:right w:val="single" w:sz="4" w:space="0" w:color="000000"/>
            </w:tcBorders>
            <w:vAlign w:val="center"/>
            <w:hideMark/>
          </w:tcPr>
          <w:p w14:paraId="0B7E084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7D10FA5C"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7CB15F07"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3096041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88A21"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Сумлінність</w:t>
            </w:r>
          </w:p>
        </w:tc>
        <w:tc>
          <w:tcPr>
            <w:tcW w:w="0" w:type="auto"/>
            <w:vMerge/>
            <w:tcBorders>
              <w:top w:val="single" w:sz="18" w:space="0" w:color="000000"/>
              <w:left w:val="single" w:sz="4" w:space="0" w:color="000000"/>
              <w:bottom w:val="single" w:sz="18" w:space="0" w:color="000000"/>
              <w:right w:val="single" w:sz="4" w:space="0" w:color="000000"/>
            </w:tcBorders>
            <w:vAlign w:val="center"/>
            <w:hideMark/>
          </w:tcPr>
          <w:p w14:paraId="5C47D34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4A821D78"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37269D80"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3B9798F6"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F44D"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Непідкупність</w:t>
            </w:r>
          </w:p>
        </w:tc>
        <w:tc>
          <w:tcPr>
            <w:tcW w:w="0" w:type="auto"/>
            <w:vMerge/>
            <w:tcBorders>
              <w:top w:val="single" w:sz="18" w:space="0" w:color="000000"/>
              <w:left w:val="single" w:sz="4" w:space="0" w:color="000000"/>
              <w:bottom w:val="single" w:sz="18" w:space="0" w:color="000000"/>
              <w:right w:val="single" w:sz="4" w:space="0" w:color="000000"/>
            </w:tcBorders>
            <w:vAlign w:val="center"/>
            <w:hideMark/>
          </w:tcPr>
          <w:p w14:paraId="7B500D21"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49149F0D"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7BA939EA"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5F7500E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1849A"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Дотримання етичних норм і бездоганна поведінка у професійній діяльності та особистому житті</w:t>
            </w:r>
          </w:p>
        </w:tc>
        <w:tc>
          <w:tcPr>
            <w:tcW w:w="0" w:type="auto"/>
            <w:vMerge/>
            <w:tcBorders>
              <w:top w:val="single" w:sz="18" w:space="0" w:color="000000"/>
              <w:left w:val="single" w:sz="4" w:space="0" w:color="000000"/>
              <w:bottom w:val="single" w:sz="18" w:space="0" w:color="000000"/>
              <w:right w:val="single" w:sz="4" w:space="0" w:color="000000"/>
            </w:tcBorders>
            <w:vAlign w:val="center"/>
            <w:hideMark/>
          </w:tcPr>
          <w:p w14:paraId="0338CF2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356EEDE5"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38036ECE" w14:textId="77777777" w:rsidTr="009F4687">
        <w:tc>
          <w:tcPr>
            <w:tcW w:w="0" w:type="auto"/>
            <w:vMerge/>
            <w:tcBorders>
              <w:top w:val="single" w:sz="18" w:space="0" w:color="000000"/>
              <w:left w:val="single" w:sz="18" w:space="0" w:color="000000"/>
              <w:bottom w:val="single" w:sz="18" w:space="0" w:color="000000"/>
              <w:right w:val="single" w:sz="4" w:space="0" w:color="000000"/>
            </w:tcBorders>
            <w:vAlign w:val="center"/>
            <w:hideMark/>
          </w:tcPr>
          <w:p w14:paraId="261FC10B"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hideMark/>
          </w:tcPr>
          <w:p w14:paraId="2B3D805D" w14:textId="77777777" w:rsidR="009F4687" w:rsidRPr="009E4EEF" w:rsidRDefault="009F4687" w:rsidP="009E4EEF">
            <w:pPr>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0" w:type="auto"/>
            <w:vMerge/>
            <w:tcBorders>
              <w:top w:val="single" w:sz="18" w:space="0" w:color="000000"/>
              <w:left w:val="single" w:sz="4" w:space="0" w:color="000000"/>
              <w:bottom w:val="single" w:sz="18" w:space="0" w:color="000000"/>
              <w:right w:val="single" w:sz="4" w:space="0" w:color="000000"/>
            </w:tcBorders>
            <w:vAlign w:val="center"/>
            <w:hideMark/>
          </w:tcPr>
          <w:p w14:paraId="7172408E"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vMerge/>
            <w:tcBorders>
              <w:top w:val="single" w:sz="18" w:space="0" w:color="000000"/>
              <w:left w:val="single" w:sz="4" w:space="0" w:color="000000"/>
              <w:bottom w:val="single" w:sz="18" w:space="0" w:color="000000"/>
              <w:right w:val="single" w:sz="18" w:space="0" w:color="000000"/>
            </w:tcBorders>
            <w:vAlign w:val="center"/>
            <w:hideMark/>
          </w:tcPr>
          <w:p w14:paraId="4723807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r>
      <w:tr w:rsidR="009F4687" w:rsidRPr="009E4EEF" w14:paraId="194C88A3" w14:textId="77777777" w:rsidTr="009F4687">
        <w:tc>
          <w:tcPr>
            <w:tcW w:w="0" w:type="auto"/>
            <w:tcBorders>
              <w:top w:val="single" w:sz="18" w:space="0" w:color="000000"/>
            </w:tcBorders>
            <w:tcMar>
              <w:top w:w="0" w:type="dxa"/>
              <w:left w:w="108" w:type="dxa"/>
              <w:bottom w:w="0" w:type="dxa"/>
              <w:right w:w="108" w:type="dxa"/>
            </w:tcMar>
            <w:hideMark/>
          </w:tcPr>
          <w:p w14:paraId="76BEA30F"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18" w:space="0" w:color="000000"/>
              <w:right w:val="single" w:sz="18" w:space="0" w:color="000000"/>
            </w:tcBorders>
            <w:tcMar>
              <w:top w:w="0" w:type="dxa"/>
              <w:left w:w="108" w:type="dxa"/>
              <w:bottom w:w="0" w:type="dxa"/>
              <w:right w:w="108" w:type="dxa"/>
            </w:tcMar>
            <w:hideMark/>
          </w:tcPr>
          <w:p w14:paraId="0A826892" w14:textId="77777777" w:rsidR="009F4687" w:rsidRPr="009E4EEF" w:rsidRDefault="009F4687" w:rsidP="009E4EEF">
            <w:pPr>
              <w:spacing w:after="0" w:line="240" w:lineRule="auto"/>
              <w:rPr>
                <w:rFonts w:ascii="Times New Roman" w:eastAsia="Times New Roman" w:hAnsi="Times New Roman" w:cs="Times New Roman"/>
                <w:sz w:val="24"/>
                <w:szCs w:val="24"/>
                <w:lang w:eastAsia="uk-UA"/>
              </w:rPr>
            </w:pPr>
          </w:p>
        </w:tc>
        <w:tc>
          <w:tcPr>
            <w:tcW w:w="0" w:type="auto"/>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14:paraId="47F24EBA" w14:textId="77777777"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Загальний бал</w:t>
            </w:r>
          </w:p>
        </w:tc>
        <w:tc>
          <w:tcPr>
            <w:tcW w:w="0" w:type="auto"/>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14:paraId="35C31D6C" w14:textId="267BE97E" w:rsidR="009F4687" w:rsidRPr="009E4EEF" w:rsidRDefault="009F4687" w:rsidP="009E4EEF">
            <w:pPr>
              <w:spacing w:after="0" w:line="240" w:lineRule="auto"/>
              <w:jc w:val="center"/>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6</w:t>
            </w:r>
            <w:r w:rsidR="006F1A50" w:rsidRPr="009E4EEF">
              <w:rPr>
                <w:rFonts w:ascii="Times New Roman" w:eastAsia="Times New Roman" w:hAnsi="Times New Roman" w:cs="Times New Roman"/>
                <w:color w:val="000000"/>
                <w:sz w:val="24"/>
                <w:szCs w:val="24"/>
                <w:lang w:eastAsia="uk-UA"/>
              </w:rPr>
              <w:t>5</w:t>
            </w:r>
            <w:r w:rsidRPr="009E4EEF">
              <w:rPr>
                <w:rFonts w:ascii="Times New Roman" w:eastAsia="Times New Roman" w:hAnsi="Times New Roman" w:cs="Times New Roman"/>
                <w:color w:val="000000"/>
                <w:sz w:val="24"/>
                <w:szCs w:val="24"/>
                <w:lang w:eastAsia="uk-UA"/>
              </w:rPr>
              <w:t>5,63</w:t>
            </w:r>
          </w:p>
        </w:tc>
      </w:tr>
    </w:tbl>
    <w:p w14:paraId="282284DF" w14:textId="0E94AEEF" w:rsidR="009F4687" w:rsidRPr="009E4EEF" w:rsidRDefault="009F4687" w:rsidP="009E4EEF">
      <w:pPr>
        <w:pStyle w:val="a4"/>
        <w:numPr>
          <w:ilvl w:val="0"/>
          <w:numId w:val="119"/>
        </w:numPr>
        <w:shd w:val="clear" w:color="auto" w:fill="FFFFFF"/>
        <w:ind w:left="0" w:firstLine="709"/>
        <w:jc w:val="both"/>
        <w:textAlignment w:val="baseline"/>
        <w:rPr>
          <w:color w:val="000000"/>
          <w:lang w:eastAsia="uk-UA"/>
        </w:rPr>
      </w:pPr>
      <w:r w:rsidRPr="009E4EEF">
        <w:rPr>
          <w:color w:val="000000"/>
          <w:lang w:eastAsia="uk-UA"/>
        </w:rPr>
        <w:t xml:space="preserve">Таким чином, </w:t>
      </w:r>
      <w:proofErr w:type="spellStart"/>
      <w:r w:rsidRPr="009E4EEF">
        <w:rPr>
          <w:color w:val="000000"/>
          <w:lang w:eastAsia="uk-UA"/>
        </w:rPr>
        <w:t>Бабаєв</w:t>
      </w:r>
      <w:proofErr w:type="spellEnd"/>
      <w:r w:rsidRPr="009E4EEF">
        <w:rPr>
          <w:color w:val="000000"/>
          <w:lang w:eastAsia="uk-UA"/>
        </w:rPr>
        <w:t xml:space="preserve"> А.І. не підтвердив здатн</w:t>
      </w:r>
      <w:r w:rsidR="004E31A7" w:rsidRPr="009E4EEF">
        <w:rPr>
          <w:color w:val="000000"/>
          <w:lang w:eastAsia="uk-UA"/>
        </w:rPr>
        <w:t>ості</w:t>
      </w:r>
      <w:r w:rsidRPr="009E4EEF">
        <w:rPr>
          <w:color w:val="000000"/>
          <w:lang w:eastAsia="uk-UA"/>
        </w:rPr>
        <w:t xml:space="preserve"> здійснювати правосуддя в апеляційному адміністративному суді за критерієм особистої компетентності.</w:t>
      </w:r>
    </w:p>
    <w:p w14:paraId="4F502691" w14:textId="415C8130" w:rsidR="009F4687" w:rsidRPr="009E4EEF" w:rsidRDefault="009F4687" w:rsidP="009E4EEF">
      <w:pPr>
        <w:shd w:val="clear" w:color="auto" w:fill="FFFFFF"/>
        <w:spacing w:after="0" w:line="240" w:lineRule="auto"/>
        <w:ind w:firstLine="709"/>
        <w:jc w:val="both"/>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7363FC0" w14:textId="77777777" w:rsidR="001A4E40" w:rsidRDefault="001A4E40" w:rsidP="009E4EEF">
      <w:pPr>
        <w:shd w:val="clear" w:color="auto" w:fill="FFFFFF"/>
        <w:spacing w:after="0" w:line="240" w:lineRule="auto"/>
        <w:jc w:val="center"/>
        <w:rPr>
          <w:rFonts w:ascii="Times New Roman" w:eastAsia="Times New Roman" w:hAnsi="Times New Roman" w:cs="Times New Roman"/>
          <w:color w:val="000000"/>
          <w:sz w:val="24"/>
          <w:szCs w:val="24"/>
          <w:lang w:eastAsia="uk-UA"/>
        </w:rPr>
      </w:pPr>
    </w:p>
    <w:p w14:paraId="50E4746C" w14:textId="3A089B2F" w:rsidR="009F4687" w:rsidRPr="009E4EEF" w:rsidRDefault="009F4687" w:rsidP="009E4EEF">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9E4EEF">
        <w:rPr>
          <w:rFonts w:ascii="Times New Roman" w:eastAsia="Times New Roman" w:hAnsi="Times New Roman" w:cs="Times New Roman"/>
          <w:color w:val="000000"/>
          <w:sz w:val="24"/>
          <w:szCs w:val="24"/>
          <w:lang w:eastAsia="uk-UA"/>
        </w:rPr>
        <w:t>вирішила:</w:t>
      </w:r>
    </w:p>
    <w:p w14:paraId="582BF278" w14:textId="77777777" w:rsidR="003C2FC0" w:rsidRPr="009E4EEF" w:rsidRDefault="003C2FC0" w:rsidP="009E4EEF">
      <w:pPr>
        <w:shd w:val="clear" w:color="auto" w:fill="FFFFFF"/>
        <w:spacing w:after="0" w:line="240" w:lineRule="auto"/>
        <w:jc w:val="center"/>
        <w:rPr>
          <w:rFonts w:ascii="Times New Roman" w:eastAsia="Times New Roman" w:hAnsi="Times New Roman" w:cs="Times New Roman"/>
          <w:sz w:val="24"/>
          <w:szCs w:val="24"/>
          <w:lang w:eastAsia="uk-UA"/>
        </w:rPr>
      </w:pPr>
    </w:p>
    <w:p w14:paraId="675334B7" w14:textId="2176E8EE" w:rsidR="009F4687" w:rsidRPr="009E4EEF" w:rsidRDefault="009F4687" w:rsidP="009E4EEF">
      <w:pPr>
        <w:spacing w:after="0" w:line="240" w:lineRule="auto"/>
        <w:ind w:firstLine="709"/>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 xml:space="preserve">1. Визначити, 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Pr="009E4EEF">
        <w:rPr>
          <w:rFonts w:ascii="Times New Roman" w:eastAsia="Times New Roman" w:hAnsi="Times New Roman" w:cs="Times New Roman"/>
          <w:color w:val="000000"/>
          <w:sz w:val="24"/>
          <w:szCs w:val="24"/>
          <w:lang w:eastAsia="uk-UA"/>
        </w:rPr>
        <w:t>Бабаєв</w:t>
      </w:r>
      <w:proofErr w:type="spellEnd"/>
      <w:r w:rsidRPr="009E4EEF">
        <w:rPr>
          <w:rFonts w:ascii="Times New Roman" w:eastAsia="Times New Roman" w:hAnsi="Times New Roman" w:cs="Times New Roman"/>
          <w:color w:val="000000"/>
          <w:sz w:val="24"/>
          <w:szCs w:val="24"/>
          <w:lang w:eastAsia="uk-UA"/>
        </w:rPr>
        <w:t xml:space="preserve"> Андрій Іванович набрав 6</w:t>
      </w:r>
      <w:r w:rsidR="003269A2" w:rsidRPr="009E4EEF">
        <w:rPr>
          <w:rFonts w:ascii="Times New Roman" w:eastAsia="Times New Roman" w:hAnsi="Times New Roman" w:cs="Times New Roman"/>
          <w:color w:val="000000"/>
          <w:sz w:val="24"/>
          <w:szCs w:val="24"/>
          <w:lang w:eastAsia="uk-UA"/>
        </w:rPr>
        <w:t>5</w:t>
      </w:r>
      <w:r w:rsidRPr="009E4EEF">
        <w:rPr>
          <w:rFonts w:ascii="Times New Roman" w:eastAsia="Times New Roman" w:hAnsi="Times New Roman" w:cs="Times New Roman"/>
          <w:color w:val="000000"/>
          <w:sz w:val="24"/>
          <w:szCs w:val="24"/>
          <w:lang w:eastAsia="uk-UA"/>
        </w:rPr>
        <w:t xml:space="preserve">5,63 </w:t>
      </w:r>
      <w:proofErr w:type="spellStart"/>
      <w:r w:rsidRPr="009E4EEF">
        <w:rPr>
          <w:rFonts w:ascii="Times New Roman" w:eastAsia="Times New Roman" w:hAnsi="Times New Roman" w:cs="Times New Roman"/>
          <w:color w:val="000000"/>
          <w:sz w:val="24"/>
          <w:szCs w:val="24"/>
          <w:lang w:eastAsia="uk-UA"/>
        </w:rPr>
        <w:t>бала</w:t>
      </w:r>
      <w:proofErr w:type="spellEnd"/>
      <w:r w:rsidRPr="009E4EEF">
        <w:rPr>
          <w:rFonts w:ascii="Times New Roman" w:eastAsia="Times New Roman" w:hAnsi="Times New Roman" w:cs="Times New Roman"/>
          <w:color w:val="000000"/>
          <w:sz w:val="24"/>
          <w:szCs w:val="24"/>
          <w:lang w:eastAsia="uk-UA"/>
        </w:rPr>
        <w:t>.</w:t>
      </w:r>
    </w:p>
    <w:p w14:paraId="7E1A3661" w14:textId="77777777" w:rsidR="009F4687" w:rsidRPr="009E4EEF" w:rsidRDefault="009F4687" w:rsidP="009E4EEF">
      <w:pPr>
        <w:spacing w:after="0" w:line="240" w:lineRule="auto"/>
        <w:ind w:firstLine="709"/>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lastRenderedPageBreak/>
        <w:t xml:space="preserve">2. Визнати </w:t>
      </w:r>
      <w:proofErr w:type="spellStart"/>
      <w:r w:rsidRPr="009E4EEF">
        <w:rPr>
          <w:rFonts w:ascii="Times New Roman" w:eastAsia="Times New Roman" w:hAnsi="Times New Roman" w:cs="Times New Roman"/>
          <w:color w:val="000000"/>
          <w:sz w:val="24"/>
          <w:szCs w:val="24"/>
          <w:lang w:eastAsia="uk-UA"/>
        </w:rPr>
        <w:t>Бабаєва</w:t>
      </w:r>
      <w:proofErr w:type="spellEnd"/>
      <w:r w:rsidRPr="009E4EEF">
        <w:rPr>
          <w:rFonts w:ascii="Times New Roman" w:eastAsia="Times New Roman" w:hAnsi="Times New Roman" w:cs="Times New Roman"/>
          <w:color w:val="000000"/>
          <w:sz w:val="24"/>
          <w:szCs w:val="24"/>
          <w:lang w:eastAsia="uk-UA"/>
        </w:rPr>
        <w:t xml:space="preserve"> Андрія Івановича таким, що не підтвердив здатності здійснювати правосуддя в апеляційному адміністративному суді за критерієм особистої та соціальної компетентності.</w:t>
      </w:r>
    </w:p>
    <w:p w14:paraId="4EA528A4" w14:textId="78017BB9"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3114E9BB" w14:textId="2EBC9881"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 xml:space="preserve">Головуючий </w:t>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003C2FC0" w:rsidRPr="009E4EEF">
        <w:rPr>
          <w:rFonts w:ascii="Times New Roman" w:eastAsia="Times New Roman" w:hAnsi="Times New Roman" w:cs="Times New Roman"/>
          <w:color w:val="000000"/>
          <w:sz w:val="24"/>
          <w:szCs w:val="24"/>
          <w:lang w:eastAsia="uk-UA"/>
        </w:rPr>
        <w:tab/>
        <w:t xml:space="preserve">   Руслан СИДОРОВИЧ</w:t>
      </w:r>
    </w:p>
    <w:p w14:paraId="0A576FB9"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5765B5F1" w14:textId="47E8AB5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Члени Першої палати</w:t>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003C2FC0"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Ярослав ДУХ</w:t>
      </w:r>
    </w:p>
    <w:p w14:paraId="7401BF0E"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020B7A7E" w14:textId="295F596A"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003C2FC0"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 Роман КИДИСЮК</w:t>
      </w:r>
    </w:p>
    <w:p w14:paraId="0D66F7BD"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423AB779" w14:textId="0CAC3C5F"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003C2FC0"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 Олег КОЛІУШ</w:t>
      </w:r>
    </w:p>
    <w:p w14:paraId="619D7512" w14:textId="77777777"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p>
    <w:p w14:paraId="710BEB8F" w14:textId="6F8EF7AE" w:rsidR="009F4687" w:rsidRPr="009E4EEF" w:rsidRDefault="009F4687" w:rsidP="009E4EEF">
      <w:pPr>
        <w:shd w:val="clear" w:color="auto" w:fill="FFFFFF"/>
        <w:spacing w:after="0" w:line="240" w:lineRule="auto"/>
        <w:jc w:val="both"/>
        <w:rPr>
          <w:rFonts w:ascii="Times New Roman" w:eastAsia="Times New Roman" w:hAnsi="Times New Roman" w:cs="Times New Roman"/>
          <w:sz w:val="24"/>
          <w:szCs w:val="24"/>
          <w:lang w:eastAsia="uk-UA"/>
        </w:rPr>
      </w:pP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Pr="009E4EEF">
        <w:rPr>
          <w:rFonts w:ascii="Times New Roman" w:eastAsia="Times New Roman" w:hAnsi="Times New Roman" w:cs="Times New Roman"/>
          <w:color w:val="000000"/>
          <w:sz w:val="24"/>
          <w:szCs w:val="24"/>
          <w:lang w:eastAsia="uk-UA"/>
        </w:rPr>
        <w:tab/>
      </w:r>
      <w:r w:rsidR="003C2FC0" w:rsidRPr="009E4EEF">
        <w:rPr>
          <w:rFonts w:ascii="Times New Roman" w:eastAsia="Times New Roman" w:hAnsi="Times New Roman" w:cs="Times New Roman"/>
          <w:color w:val="000000"/>
          <w:sz w:val="24"/>
          <w:szCs w:val="24"/>
          <w:lang w:eastAsia="uk-UA"/>
        </w:rPr>
        <w:t xml:space="preserve">  </w:t>
      </w:r>
      <w:r w:rsidRPr="009E4EEF">
        <w:rPr>
          <w:rFonts w:ascii="Times New Roman" w:eastAsia="Times New Roman" w:hAnsi="Times New Roman" w:cs="Times New Roman"/>
          <w:color w:val="000000"/>
          <w:sz w:val="24"/>
          <w:szCs w:val="24"/>
          <w:lang w:eastAsia="uk-UA"/>
        </w:rPr>
        <w:t xml:space="preserve"> Роман САБОДАШ</w:t>
      </w:r>
    </w:p>
    <w:sectPr w:rsidR="009F4687" w:rsidRPr="009E4EEF" w:rsidSect="00A37AB5">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9480E" w14:textId="77777777" w:rsidR="00BC4D21" w:rsidRDefault="00BC4D21" w:rsidP="00A37AB5">
      <w:pPr>
        <w:spacing w:after="0" w:line="240" w:lineRule="auto"/>
      </w:pPr>
      <w:r>
        <w:separator/>
      </w:r>
    </w:p>
  </w:endnote>
  <w:endnote w:type="continuationSeparator" w:id="0">
    <w:p w14:paraId="64932828" w14:textId="77777777" w:rsidR="00BC4D21" w:rsidRDefault="00BC4D21" w:rsidP="00A3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6B347" w14:textId="77777777" w:rsidR="00BC4D21" w:rsidRDefault="00BC4D21" w:rsidP="00A37AB5">
      <w:pPr>
        <w:spacing w:after="0" w:line="240" w:lineRule="auto"/>
      </w:pPr>
      <w:r>
        <w:separator/>
      </w:r>
    </w:p>
  </w:footnote>
  <w:footnote w:type="continuationSeparator" w:id="0">
    <w:p w14:paraId="40E2DEF2" w14:textId="77777777" w:rsidR="00BC4D21" w:rsidRDefault="00BC4D21" w:rsidP="00A3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161498"/>
      <w:docPartObj>
        <w:docPartGallery w:val="Page Numbers (Top of Page)"/>
        <w:docPartUnique/>
      </w:docPartObj>
    </w:sdtPr>
    <w:sdtEndPr/>
    <w:sdtContent>
      <w:p w14:paraId="275F76B7" w14:textId="60C2F460" w:rsidR="00625380" w:rsidRDefault="00625380">
        <w:pPr>
          <w:pStyle w:val="a5"/>
          <w:jc w:val="center"/>
        </w:pPr>
        <w:r>
          <w:fldChar w:fldCharType="begin"/>
        </w:r>
        <w:r>
          <w:instrText>PAGE   \* MERGEFORMAT</w:instrText>
        </w:r>
        <w:r>
          <w:fldChar w:fldCharType="separate"/>
        </w:r>
        <w:r>
          <w:t>2</w:t>
        </w:r>
        <w:r>
          <w:fldChar w:fldCharType="end"/>
        </w:r>
      </w:p>
    </w:sdtContent>
  </w:sdt>
  <w:p w14:paraId="331A93FD" w14:textId="77777777" w:rsidR="00625380" w:rsidRDefault="006253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1A8"/>
    <w:multiLevelType w:val="multilevel"/>
    <w:tmpl w:val="D16A49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56939"/>
    <w:multiLevelType w:val="multilevel"/>
    <w:tmpl w:val="F156FD2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24975"/>
    <w:multiLevelType w:val="multilevel"/>
    <w:tmpl w:val="7D906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F76DA"/>
    <w:multiLevelType w:val="hybridMultilevel"/>
    <w:tmpl w:val="9C1A0A6A"/>
    <w:lvl w:ilvl="0" w:tplc="2B802638">
      <w:start w:val="136"/>
      <w:numFmt w:val="decimal"/>
      <w:lvlText w:val="%1."/>
      <w:lvlJc w:val="left"/>
      <w:pPr>
        <w:ind w:left="1065" w:hanging="465"/>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4" w15:restartNumberingAfterBreak="0">
    <w:nsid w:val="11A067E0"/>
    <w:multiLevelType w:val="multilevel"/>
    <w:tmpl w:val="85AED9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5216F"/>
    <w:multiLevelType w:val="multilevel"/>
    <w:tmpl w:val="B75CC426"/>
    <w:lvl w:ilvl="0">
      <w:start w:val="122"/>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E6D7000"/>
    <w:multiLevelType w:val="multilevel"/>
    <w:tmpl w:val="FF78371E"/>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55DB9"/>
    <w:multiLevelType w:val="multilevel"/>
    <w:tmpl w:val="86CEFDEE"/>
    <w:lvl w:ilvl="0">
      <w:start w:val="79"/>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9154985"/>
    <w:multiLevelType w:val="multilevel"/>
    <w:tmpl w:val="4D286870"/>
    <w:lvl w:ilvl="0">
      <w:start w:val="6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31E97"/>
    <w:multiLevelType w:val="multilevel"/>
    <w:tmpl w:val="9830E4BE"/>
    <w:lvl w:ilvl="0">
      <w:start w:val="87"/>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01E39F4"/>
    <w:multiLevelType w:val="multilevel"/>
    <w:tmpl w:val="E73C88C0"/>
    <w:lvl w:ilvl="0">
      <w:start w:val="10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8F5FD0"/>
    <w:multiLevelType w:val="multilevel"/>
    <w:tmpl w:val="D5222628"/>
    <w:lvl w:ilvl="0">
      <w:start w:val="64"/>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D0E0639"/>
    <w:multiLevelType w:val="multilevel"/>
    <w:tmpl w:val="ED4E745C"/>
    <w:lvl w:ilvl="0">
      <w:start w:val="9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FB09FB"/>
    <w:multiLevelType w:val="multilevel"/>
    <w:tmpl w:val="42EE2976"/>
    <w:lvl w:ilvl="0">
      <w:start w:val="79"/>
      <w:numFmt w:val="decimal"/>
      <w:lvlText w:val="%1"/>
      <w:lvlJc w:val="left"/>
      <w:pPr>
        <w:ind w:left="465" w:hanging="465"/>
      </w:pPr>
      <w:rPr>
        <w:rFonts w:hint="default"/>
      </w:rPr>
    </w:lvl>
    <w:lvl w:ilvl="1">
      <w:start w:val="4"/>
      <w:numFmt w:val="decimal"/>
      <w:lvlText w:val="%1.%2"/>
      <w:lvlJc w:val="left"/>
      <w:pPr>
        <w:ind w:left="1650" w:hanging="465"/>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14" w15:restartNumberingAfterBreak="0">
    <w:nsid w:val="475A0F24"/>
    <w:multiLevelType w:val="multilevel"/>
    <w:tmpl w:val="086EA62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6C60FC"/>
    <w:multiLevelType w:val="multilevel"/>
    <w:tmpl w:val="E7F4FC1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E50024"/>
    <w:multiLevelType w:val="multilevel"/>
    <w:tmpl w:val="225CA5C8"/>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8B44FD"/>
    <w:multiLevelType w:val="multilevel"/>
    <w:tmpl w:val="E33C0858"/>
    <w:lvl w:ilvl="0">
      <w:start w:val="7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901658"/>
    <w:multiLevelType w:val="multilevel"/>
    <w:tmpl w:val="CBE234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num>
  <w:num w:numId="6">
    <w:abstractNumId w:val="0"/>
    <w:lvlOverride w:ilvl="0">
      <w:lvl w:ilvl="0">
        <w:numFmt w:val="decimal"/>
        <w:lvlText w:val="%1."/>
        <w:lvlJc w:val="left"/>
        <w:rPr>
          <w:b w:val="0"/>
        </w:rPr>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15"/>
    <w:lvlOverride w:ilvl="0">
      <w:lvl w:ilvl="0">
        <w:numFmt w:val="decimal"/>
        <w:lvlText w:val="%1."/>
        <w:lvlJc w:val="left"/>
      </w:lvl>
    </w:lvlOverride>
  </w:num>
  <w:num w:numId="17">
    <w:abstractNumId w:val="1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14"/>
    <w:lvlOverride w:ilvl="0">
      <w:lvl w:ilvl="0">
        <w:numFmt w:val="decimal"/>
        <w:lvlText w:val="%1."/>
        <w:lvlJc w:val="left"/>
      </w:lvl>
    </w:lvlOverride>
  </w:num>
  <w:num w:numId="20">
    <w:abstractNumId w:val="14"/>
    <w:lvlOverride w:ilvl="0">
      <w:lvl w:ilvl="0">
        <w:numFmt w:val="decimal"/>
        <w:lvlText w:val="%1."/>
        <w:lvlJc w:val="left"/>
      </w:lvl>
    </w:lvlOverride>
  </w:num>
  <w:num w:numId="21">
    <w:abstractNumId w:val="18"/>
    <w:lvlOverride w:ilvl="0">
      <w:lvl w:ilvl="0">
        <w:numFmt w:val="decimal"/>
        <w:lvlText w:val="%1."/>
        <w:lvlJc w:val="left"/>
      </w:lvl>
    </w:lvlOverride>
  </w:num>
  <w:num w:numId="22">
    <w:abstractNumId w:val="18"/>
    <w:lvlOverride w:ilvl="0">
      <w:lvl w:ilvl="0">
        <w:numFmt w:val="decimal"/>
        <w:lvlText w:val="%1."/>
        <w:lvlJc w:val="left"/>
      </w:lvl>
    </w:lvlOverride>
  </w:num>
  <w:num w:numId="23">
    <w:abstractNumId w:val="18"/>
    <w:lvlOverride w:ilvl="0">
      <w:lvl w:ilvl="0">
        <w:numFmt w:val="decimal"/>
        <w:lvlText w:val="%1."/>
        <w:lvlJc w:val="left"/>
      </w:lvl>
    </w:lvlOverride>
  </w:num>
  <w:num w:numId="24">
    <w:abstractNumId w:val="18"/>
    <w:lvlOverride w:ilvl="0">
      <w:lvl w:ilvl="0">
        <w:numFmt w:val="decimal"/>
        <w:lvlText w:val="%1."/>
        <w:lvlJc w:val="left"/>
      </w:lvl>
    </w:lvlOverride>
  </w:num>
  <w:num w:numId="25">
    <w:abstractNumId w:val="18"/>
    <w:lvlOverride w:ilvl="0">
      <w:lvl w:ilvl="0">
        <w:numFmt w:val="decimal"/>
        <w:lvlText w:val="%1."/>
        <w:lvlJc w:val="left"/>
      </w:lvl>
    </w:lvlOverride>
  </w:num>
  <w:num w:numId="26">
    <w:abstractNumId w:val="18"/>
    <w:lvlOverride w:ilvl="0">
      <w:lvl w:ilvl="0">
        <w:numFmt w:val="decimal"/>
        <w:lvlText w:val="%1."/>
        <w:lvlJc w:val="left"/>
      </w:lvl>
    </w:lvlOverride>
  </w:num>
  <w:num w:numId="27">
    <w:abstractNumId w:val="18"/>
    <w:lvlOverride w:ilvl="0">
      <w:lvl w:ilvl="0">
        <w:numFmt w:val="decimal"/>
        <w:lvlText w:val="%1."/>
        <w:lvlJc w:val="left"/>
      </w:lvl>
    </w:lvlOverride>
  </w:num>
  <w:num w:numId="28">
    <w:abstractNumId w:val="18"/>
    <w:lvlOverride w:ilvl="0">
      <w:lvl w:ilvl="0">
        <w:numFmt w:val="decimal"/>
        <w:lvlText w:val="%1."/>
        <w:lvlJc w:val="left"/>
      </w:lvl>
    </w:lvlOverride>
  </w:num>
  <w:num w:numId="29">
    <w:abstractNumId w:val="18"/>
    <w:lvlOverride w:ilvl="0">
      <w:lvl w:ilvl="0">
        <w:numFmt w:val="decimal"/>
        <w:lvlText w:val="%1."/>
        <w:lvlJc w:val="left"/>
      </w:lvl>
    </w:lvlOverride>
  </w:num>
  <w:num w:numId="30">
    <w:abstractNumId w:val="18"/>
    <w:lvlOverride w:ilvl="0">
      <w:lvl w:ilvl="0">
        <w:numFmt w:val="decimal"/>
        <w:lvlText w:val="%1."/>
        <w:lvlJc w:val="left"/>
      </w:lvl>
    </w:lvlOverride>
  </w:num>
  <w:num w:numId="31">
    <w:abstractNumId w:val="18"/>
    <w:lvlOverride w:ilvl="0">
      <w:lvl w:ilvl="0">
        <w:numFmt w:val="decimal"/>
        <w:lvlText w:val="%1."/>
        <w:lvlJc w:val="left"/>
      </w:lvl>
    </w:lvlOverride>
  </w:num>
  <w:num w:numId="32">
    <w:abstractNumId w:val="18"/>
    <w:lvlOverride w:ilvl="0">
      <w:lvl w:ilvl="0">
        <w:numFmt w:val="decimal"/>
        <w:lvlText w:val="%1."/>
        <w:lvlJc w:val="left"/>
      </w:lvl>
    </w:lvlOverride>
  </w:num>
  <w:num w:numId="33">
    <w:abstractNumId w:val="18"/>
    <w:lvlOverride w:ilvl="0">
      <w:lvl w:ilvl="0">
        <w:numFmt w:val="decimal"/>
        <w:lvlText w:val="%1."/>
        <w:lvlJc w:val="left"/>
      </w:lvl>
    </w:lvlOverride>
  </w:num>
  <w:num w:numId="34">
    <w:abstractNumId w:val="18"/>
    <w:lvlOverride w:ilvl="0">
      <w:lvl w:ilvl="0">
        <w:numFmt w:val="decimal"/>
        <w:lvlText w:val="%1."/>
        <w:lvlJc w:val="left"/>
      </w:lvl>
    </w:lvlOverride>
  </w:num>
  <w:num w:numId="35">
    <w:abstractNumId w:val="18"/>
    <w:lvlOverride w:ilvl="0">
      <w:lvl w:ilvl="0">
        <w:numFmt w:val="decimal"/>
        <w:lvlText w:val="%1."/>
        <w:lvlJc w:val="left"/>
      </w:lvl>
    </w:lvlOverride>
  </w:num>
  <w:num w:numId="36">
    <w:abstractNumId w:val="18"/>
    <w:lvlOverride w:ilvl="0">
      <w:lvl w:ilvl="0">
        <w:numFmt w:val="decimal"/>
        <w:lvlText w:val="%1."/>
        <w:lvlJc w:val="left"/>
      </w:lvl>
    </w:lvlOverride>
  </w:num>
  <w:num w:numId="37">
    <w:abstractNumId w:val="18"/>
    <w:lvlOverride w:ilvl="0">
      <w:lvl w:ilvl="0">
        <w:numFmt w:val="decimal"/>
        <w:lvlText w:val="%1."/>
        <w:lvlJc w:val="left"/>
      </w:lvl>
    </w:lvlOverride>
  </w:num>
  <w:num w:numId="38">
    <w:abstractNumId w:val="18"/>
    <w:lvlOverride w:ilvl="0">
      <w:lvl w:ilvl="0">
        <w:numFmt w:val="decimal"/>
        <w:lvlText w:val="%1."/>
        <w:lvlJc w:val="left"/>
      </w:lvl>
    </w:lvlOverride>
  </w:num>
  <w:num w:numId="39">
    <w:abstractNumId w:val="18"/>
    <w:lvlOverride w:ilvl="0">
      <w:lvl w:ilvl="0">
        <w:numFmt w:val="decimal"/>
        <w:lvlText w:val="%1."/>
        <w:lvlJc w:val="left"/>
      </w:lvl>
    </w:lvlOverride>
  </w:num>
  <w:num w:numId="40">
    <w:abstractNumId w:val="18"/>
    <w:lvlOverride w:ilvl="0">
      <w:lvl w:ilvl="0">
        <w:numFmt w:val="decimal"/>
        <w:lvlText w:val="%1."/>
        <w:lvlJc w:val="left"/>
      </w:lvl>
    </w:lvlOverride>
  </w:num>
  <w:num w:numId="41">
    <w:abstractNumId w:val="18"/>
    <w:lvlOverride w:ilvl="0">
      <w:lvl w:ilvl="0">
        <w:numFmt w:val="decimal"/>
        <w:lvlText w:val="%1."/>
        <w:lvlJc w:val="left"/>
      </w:lvl>
    </w:lvlOverride>
  </w:num>
  <w:num w:numId="42">
    <w:abstractNumId w:val="18"/>
    <w:lvlOverride w:ilvl="0">
      <w:lvl w:ilvl="0">
        <w:numFmt w:val="decimal"/>
        <w:lvlText w:val="%1."/>
        <w:lvlJc w:val="left"/>
      </w:lvl>
    </w:lvlOverride>
  </w:num>
  <w:num w:numId="43">
    <w:abstractNumId w:val="18"/>
    <w:lvlOverride w:ilvl="0">
      <w:lvl w:ilvl="0">
        <w:numFmt w:val="decimal"/>
        <w:lvlText w:val="%1."/>
        <w:lvlJc w:val="left"/>
      </w:lvl>
    </w:lvlOverride>
  </w:num>
  <w:num w:numId="44">
    <w:abstractNumId w:val="18"/>
    <w:lvlOverride w:ilvl="0">
      <w:lvl w:ilvl="0">
        <w:numFmt w:val="decimal"/>
        <w:lvlText w:val="%1."/>
        <w:lvlJc w:val="left"/>
      </w:lvl>
    </w:lvlOverride>
  </w:num>
  <w:num w:numId="45">
    <w:abstractNumId w:val="18"/>
    <w:lvlOverride w:ilvl="0">
      <w:lvl w:ilvl="0">
        <w:numFmt w:val="decimal"/>
        <w:lvlText w:val="%1."/>
        <w:lvlJc w:val="left"/>
      </w:lvl>
    </w:lvlOverride>
  </w:num>
  <w:num w:numId="46">
    <w:abstractNumId w:val="18"/>
    <w:lvlOverride w:ilvl="0">
      <w:lvl w:ilvl="0">
        <w:numFmt w:val="decimal"/>
        <w:lvlText w:val="%1."/>
        <w:lvlJc w:val="left"/>
      </w:lvl>
    </w:lvlOverride>
  </w:num>
  <w:num w:numId="47">
    <w:abstractNumId w:val="18"/>
    <w:lvlOverride w:ilvl="0">
      <w:lvl w:ilvl="0">
        <w:numFmt w:val="decimal"/>
        <w:lvlText w:val="%1."/>
        <w:lvlJc w:val="left"/>
      </w:lvl>
    </w:lvlOverride>
  </w:num>
  <w:num w:numId="48">
    <w:abstractNumId w:val="18"/>
    <w:lvlOverride w:ilvl="0">
      <w:lvl w:ilvl="0">
        <w:numFmt w:val="decimal"/>
        <w:lvlText w:val="%1."/>
        <w:lvlJc w:val="left"/>
      </w:lvl>
    </w:lvlOverride>
  </w:num>
  <w:num w:numId="49">
    <w:abstractNumId w:val="18"/>
    <w:lvlOverride w:ilvl="0">
      <w:lvl w:ilvl="0">
        <w:numFmt w:val="decimal"/>
        <w:lvlText w:val="%1."/>
        <w:lvlJc w:val="left"/>
      </w:lvl>
    </w:lvlOverride>
  </w:num>
  <w:num w:numId="50">
    <w:abstractNumId w:val="18"/>
    <w:lvlOverride w:ilvl="0">
      <w:lvl w:ilvl="0">
        <w:numFmt w:val="decimal"/>
        <w:lvlText w:val="%1."/>
        <w:lvlJc w:val="left"/>
      </w:lvl>
    </w:lvlOverride>
  </w:num>
  <w:num w:numId="51">
    <w:abstractNumId w:val="18"/>
    <w:lvlOverride w:ilvl="0">
      <w:lvl w:ilvl="0">
        <w:numFmt w:val="decimal"/>
        <w:lvlText w:val="%1."/>
        <w:lvlJc w:val="left"/>
      </w:lvl>
    </w:lvlOverride>
  </w:num>
  <w:num w:numId="52">
    <w:abstractNumId w:val="18"/>
    <w:lvlOverride w:ilvl="0">
      <w:lvl w:ilvl="0">
        <w:numFmt w:val="decimal"/>
        <w:lvlText w:val="%1."/>
        <w:lvlJc w:val="left"/>
      </w:lvl>
    </w:lvlOverride>
  </w:num>
  <w:num w:numId="53">
    <w:abstractNumId w:val="18"/>
    <w:lvlOverride w:ilvl="0">
      <w:lvl w:ilvl="0">
        <w:numFmt w:val="decimal"/>
        <w:lvlText w:val="%1."/>
        <w:lvlJc w:val="left"/>
      </w:lvl>
    </w:lvlOverride>
  </w:num>
  <w:num w:numId="54">
    <w:abstractNumId w:val="8"/>
    <w:lvlOverride w:ilvl="0">
      <w:lvl w:ilvl="0">
        <w:numFmt w:val="decimal"/>
        <w:lvlText w:val="%1."/>
        <w:lvlJc w:val="left"/>
      </w:lvl>
    </w:lvlOverride>
  </w:num>
  <w:num w:numId="55">
    <w:abstractNumId w:val="6"/>
    <w:lvlOverride w:ilvl="0">
      <w:lvl w:ilvl="0">
        <w:numFmt w:val="decimal"/>
        <w:lvlText w:val="%1."/>
        <w:lvlJc w:val="left"/>
      </w:lvl>
    </w:lvlOverride>
  </w:num>
  <w:num w:numId="56">
    <w:abstractNumId w:val="6"/>
    <w:lvlOverride w:ilvl="0">
      <w:lvl w:ilvl="0">
        <w:numFmt w:val="decimal"/>
        <w:lvlText w:val="%1."/>
        <w:lvlJc w:val="left"/>
      </w:lvl>
    </w:lvlOverride>
  </w:num>
  <w:num w:numId="57">
    <w:abstractNumId w:val="17"/>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8">
    <w:abstractNumId w:val="17"/>
    <w:lvlOverride w:ilvl="0">
      <w:lvl w:ilvl="0">
        <w:numFmt w:val="decimal"/>
        <w:lvlText w:val="%1."/>
        <w:lvlJc w:val="left"/>
      </w:lvl>
    </w:lvlOverride>
  </w:num>
  <w:num w:numId="59">
    <w:abstractNumId w:val="17"/>
    <w:lvlOverride w:ilvl="0">
      <w:lvl w:ilvl="0">
        <w:numFmt w:val="decimal"/>
        <w:lvlText w:val="%1."/>
        <w:lvlJc w:val="left"/>
      </w:lvl>
    </w:lvlOverride>
  </w:num>
  <w:num w:numId="60">
    <w:abstractNumId w:val="17"/>
    <w:lvlOverride w:ilvl="0">
      <w:lvl w:ilvl="0">
        <w:numFmt w:val="decimal"/>
        <w:lvlText w:val="%1."/>
        <w:lvlJc w:val="left"/>
      </w:lvl>
    </w:lvlOverride>
  </w:num>
  <w:num w:numId="61">
    <w:abstractNumId w:val="17"/>
    <w:lvlOverride w:ilvl="0">
      <w:lvl w:ilvl="0">
        <w:numFmt w:val="decimal"/>
        <w:lvlText w:val="%1."/>
        <w:lvlJc w:val="left"/>
      </w:lvl>
    </w:lvlOverride>
  </w:num>
  <w:num w:numId="62">
    <w:abstractNumId w:val="17"/>
    <w:lvlOverride w:ilvl="0">
      <w:lvl w:ilvl="0">
        <w:numFmt w:val="decimal"/>
        <w:lvlText w:val="%1."/>
        <w:lvlJc w:val="left"/>
      </w:lvl>
    </w:lvlOverride>
  </w:num>
  <w:num w:numId="63">
    <w:abstractNumId w:val="17"/>
    <w:lvlOverride w:ilvl="0">
      <w:lvl w:ilvl="0">
        <w:numFmt w:val="decimal"/>
        <w:lvlText w:val="%1."/>
        <w:lvlJc w:val="left"/>
      </w:lvl>
    </w:lvlOverride>
  </w:num>
  <w:num w:numId="64">
    <w:abstractNumId w:val="17"/>
    <w:lvlOverride w:ilvl="0">
      <w:lvl w:ilvl="0">
        <w:numFmt w:val="decimal"/>
        <w:lvlText w:val="%1."/>
        <w:lvlJc w:val="left"/>
      </w:lvl>
    </w:lvlOverride>
  </w:num>
  <w:num w:numId="65">
    <w:abstractNumId w:val="17"/>
    <w:lvlOverride w:ilvl="0">
      <w:lvl w:ilvl="0">
        <w:numFmt w:val="decimal"/>
        <w:lvlText w:val="%1."/>
        <w:lvlJc w:val="left"/>
      </w:lvl>
    </w:lvlOverride>
  </w:num>
  <w:num w:numId="66">
    <w:abstractNumId w:val="17"/>
    <w:lvlOverride w:ilvl="0">
      <w:lvl w:ilvl="0">
        <w:numFmt w:val="decimal"/>
        <w:lvlText w:val="%1."/>
        <w:lvlJc w:val="left"/>
      </w:lvl>
    </w:lvlOverride>
  </w:num>
  <w:num w:numId="67">
    <w:abstractNumId w:val="17"/>
    <w:lvlOverride w:ilvl="0">
      <w:lvl w:ilvl="0">
        <w:numFmt w:val="decimal"/>
        <w:lvlText w:val="%1."/>
        <w:lvlJc w:val="left"/>
      </w:lvl>
    </w:lvlOverride>
  </w:num>
  <w:num w:numId="68">
    <w:abstractNumId w:val="16"/>
    <w:lvlOverride w:ilvl="0">
      <w:lvl w:ilvl="0">
        <w:numFmt w:val="decimal"/>
        <w:lvlText w:val="%1."/>
        <w:lvlJc w:val="left"/>
      </w:lvl>
    </w:lvlOverride>
  </w:num>
  <w:num w:numId="69">
    <w:abstractNumId w:val="16"/>
    <w:lvlOverride w:ilvl="0">
      <w:lvl w:ilvl="0">
        <w:numFmt w:val="decimal"/>
        <w:lvlText w:val="%1."/>
        <w:lvlJc w:val="left"/>
      </w:lvl>
    </w:lvlOverride>
  </w:num>
  <w:num w:numId="70">
    <w:abstractNumId w:val="12"/>
    <w:lvlOverride w:ilvl="0">
      <w:lvl w:ilvl="0">
        <w:numFmt w:val="decimal"/>
        <w:lvlText w:val="%1."/>
        <w:lvlJc w:val="left"/>
      </w:lvl>
    </w:lvlOverride>
  </w:num>
  <w:num w:numId="71">
    <w:abstractNumId w:val="12"/>
    <w:lvlOverride w:ilvl="0">
      <w:lvl w:ilvl="0">
        <w:numFmt w:val="decimal"/>
        <w:lvlText w:val="%1."/>
        <w:lvlJc w:val="left"/>
      </w:lvl>
    </w:lvlOverride>
  </w:num>
  <w:num w:numId="72">
    <w:abstractNumId w:val="12"/>
    <w:lvlOverride w:ilvl="0">
      <w:lvl w:ilvl="0">
        <w:numFmt w:val="decimal"/>
        <w:lvlText w:val="%1."/>
        <w:lvlJc w:val="left"/>
      </w:lvl>
    </w:lvlOverride>
  </w:num>
  <w:num w:numId="73">
    <w:abstractNumId w:val="12"/>
    <w:lvlOverride w:ilvl="0">
      <w:lvl w:ilvl="0">
        <w:numFmt w:val="decimal"/>
        <w:lvlText w:val="%1."/>
        <w:lvlJc w:val="left"/>
      </w:lvl>
    </w:lvlOverride>
  </w:num>
  <w:num w:numId="74">
    <w:abstractNumId w:val="12"/>
    <w:lvlOverride w:ilvl="0">
      <w:lvl w:ilvl="0">
        <w:numFmt w:val="decimal"/>
        <w:lvlText w:val="%1."/>
        <w:lvlJc w:val="left"/>
      </w:lvl>
    </w:lvlOverride>
  </w:num>
  <w:num w:numId="75">
    <w:abstractNumId w:val="12"/>
    <w:lvlOverride w:ilvl="0">
      <w:lvl w:ilvl="0">
        <w:numFmt w:val="decimal"/>
        <w:lvlText w:val="%1."/>
        <w:lvlJc w:val="left"/>
      </w:lvl>
    </w:lvlOverride>
  </w:num>
  <w:num w:numId="76">
    <w:abstractNumId w:val="12"/>
    <w:lvlOverride w:ilvl="0">
      <w:lvl w:ilvl="0">
        <w:numFmt w:val="decimal"/>
        <w:lvlText w:val="%1."/>
        <w:lvlJc w:val="left"/>
      </w:lvl>
    </w:lvlOverride>
  </w:num>
  <w:num w:numId="77">
    <w:abstractNumId w:val="12"/>
    <w:lvlOverride w:ilvl="0">
      <w:lvl w:ilvl="0">
        <w:numFmt w:val="decimal"/>
        <w:lvlText w:val="%1."/>
        <w:lvlJc w:val="left"/>
      </w:lvl>
    </w:lvlOverride>
  </w:num>
  <w:num w:numId="78">
    <w:abstractNumId w:val="12"/>
    <w:lvlOverride w:ilvl="0">
      <w:lvl w:ilvl="0">
        <w:numFmt w:val="decimal"/>
        <w:lvlText w:val="%1."/>
        <w:lvlJc w:val="left"/>
      </w:lvl>
    </w:lvlOverride>
  </w:num>
  <w:num w:numId="79">
    <w:abstractNumId w:val="12"/>
    <w:lvlOverride w:ilvl="0">
      <w:lvl w:ilvl="0">
        <w:numFmt w:val="decimal"/>
        <w:lvlText w:val="%1."/>
        <w:lvlJc w:val="left"/>
      </w:lvl>
    </w:lvlOverride>
  </w:num>
  <w:num w:numId="80">
    <w:abstractNumId w:val="12"/>
    <w:lvlOverride w:ilvl="0">
      <w:lvl w:ilvl="0">
        <w:numFmt w:val="decimal"/>
        <w:lvlText w:val="%1."/>
        <w:lvlJc w:val="left"/>
      </w:lvl>
    </w:lvlOverride>
  </w:num>
  <w:num w:numId="81">
    <w:abstractNumId w:val="10"/>
    <w:lvlOverride w:ilvl="0">
      <w:lvl w:ilvl="0">
        <w:numFmt w:val="decimal"/>
        <w:lvlText w:val="%1."/>
        <w:lvlJc w:val="left"/>
      </w:lvl>
    </w:lvlOverride>
  </w:num>
  <w:num w:numId="82">
    <w:abstractNumId w:val="10"/>
    <w:lvlOverride w:ilvl="0">
      <w:lvl w:ilvl="0">
        <w:numFmt w:val="decimal"/>
        <w:lvlText w:val="%1."/>
        <w:lvlJc w:val="left"/>
      </w:lvl>
    </w:lvlOverride>
  </w:num>
  <w:num w:numId="83">
    <w:abstractNumId w:val="10"/>
    <w:lvlOverride w:ilvl="0">
      <w:lvl w:ilvl="0">
        <w:numFmt w:val="decimal"/>
        <w:lvlText w:val="%1."/>
        <w:lvlJc w:val="left"/>
      </w:lvl>
    </w:lvlOverride>
  </w:num>
  <w:num w:numId="84">
    <w:abstractNumId w:val="10"/>
    <w:lvlOverride w:ilvl="0">
      <w:lvl w:ilvl="0">
        <w:numFmt w:val="decimal"/>
        <w:lvlText w:val="%1."/>
        <w:lvlJc w:val="left"/>
      </w:lvl>
    </w:lvlOverride>
  </w:num>
  <w:num w:numId="85">
    <w:abstractNumId w:val="10"/>
    <w:lvlOverride w:ilvl="0">
      <w:lvl w:ilvl="0">
        <w:numFmt w:val="decimal"/>
        <w:lvlText w:val="%1."/>
        <w:lvlJc w:val="left"/>
      </w:lvl>
    </w:lvlOverride>
  </w:num>
  <w:num w:numId="86">
    <w:abstractNumId w:val="10"/>
    <w:lvlOverride w:ilvl="0">
      <w:lvl w:ilvl="0">
        <w:numFmt w:val="decimal"/>
        <w:lvlText w:val="%1."/>
        <w:lvlJc w:val="left"/>
      </w:lvl>
    </w:lvlOverride>
  </w:num>
  <w:num w:numId="87">
    <w:abstractNumId w:val="10"/>
    <w:lvlOverride w:ilvl="0">
      <w:lvl w:ilvl="0">
        <w:numFmt w:val="decimal"/>
        <w:lvlText w:val="%1."/>
        <w:lvlJc w:val="left"/>
      </w:lvl>
    </w:lvlOverride>
  </w:num>
  <w:num w:numId="88">
    <w:abstractNumId w:val="10"/>
    <w:lvlOverride w:ilvl="0">
      <w:lvl w:ilvl="0">
        <w:numFmt w:val="decimal"/>
        <w:lvlText w:val="%1."/>
        <w:lvlJc w:val="left"/>
      </w:lvl>
    </w:lvlOverride>
  </w:num>
  <w:num w:numId="89">
    <w:abstractNumId w:val="10"/>
    <w:lvlOverride w:ilvl="0">
      <w:lvl w:ilvl="0">
        <w:numFmt w:val="decimal"/>
        <w:lvlText w:val="%1."/>
        <w:lvlJc w:val="left"/>
      </w:lvl>
    </w:lvlOverride>
  </w:num>
  <w:num w:numId="90">
    <w:abstractNumId w:val="10"/>
    <w:lvlOverride w:ilvl="0">
      <w:lvl w:ilvl="0">
        <w:numFmt w:val="decimal"/>
        <w:lvlText w:val="%1."/>
        <w:lvlJc w:val="left"/>
      </w:lvl>
    </w:lvlOverride>
  </w:num>
  <w:num w:numId="91">
    <w:abstractNumId w:val="10"/>
    <w:lvlOverride w:ilvl="0">
      <w:lvl w:ilvl="0">
        <w:numFmt w:val="decimal"/>
        <w:lvlText w:val="%1."/>
        <w:lvlJc w:val="left"/>
      </w:lvl>
    </w:lvlOverride>
  </w:num>
  <w:num w:numId="92">
    <w:abstractNumId w:val="10"/>
    <w:lvlOverride w:ilvl="0">
      <w:lvl w:ilvl="0">
        <w:numFmt w:val="decimal"/>
        <w:lvlText w:val="%1."/>
        <w:lvlJc w:val="left"/>
      </w:lvl>
    </w:lvlOverride>
  </w:num>
  <w:num w:numId="93">
    <w:abstractNumId w:val="10"/>
    <w:lvlOverride w:ilvl="0">
      <w:lvl w:ilvl="0">
        <w:numFmt w:val="decimal"/>
        <w:lvlText w:val="%1."/>
        <w:lvlJc w:val="left"/>
      </w:lvl>
    </w:lvlOverride>
  </w:num>
  <w:num w:numId="94">
    <w:abstractNumId w:val="10"/>
    <w:lvlOverride w:ilvl="0">
      <w:lvl w:ilvl="0">
        <w:numFmt w:val="decimal"/>
        <w:lvlText w:val="%1."/>
        <w:lvlJc w:val="left"/>
      </w:lvl>
    </w:lvlOverride>
  </w:num>
  <w:num w:numId="95">
    <w:abstractNumId w:val="10"/>
    <w:lvlOverride w:ilvl="0">
      <w:lvl w:ilvl="0">
        <w:numFmt w:val="decimal"/>
        <w:lvlText w:val="%1."/>
        <w:lvlJc w:val="left"/>
      </w:lvl>
    </w:lvlOverride>
  </w:num>
  <w:num w:numId="96">
    <w:abstractNumId w:val="10"/>
    <w:lvlOverride w:ilvl="0">
      <w:lvl w:ilvl="0">
        <w:numFmt w:val="decimal"/>
        <w:lvlText w:val="%1."/>
        <w:lvlJc w:val="left"/>
      </w:lvl>
    </w:lvlOverride>
  </w:num>
  <w:num w:numId="97">
    <w:abstractNumId w:val="10"/>
    <w:lvlOverride w:ilvl="0">
      <w:lvl w:ilvl="0">
        <w:numFmt w:val="decimal"/>
        <w:lvlText w:val="%1."/>
        <w:lvlJc w:val="left"/>
      </w:lvl>
    </w:lvlOverride>
  </w:num>
  <w:num w:numId="98">
    <w:abstractNumId w:val="10"/>
    <w:lvlOverride w:ilvl="0">
      <w:lvl w:ilvl="0">
        <w:numFmt w:val="decimal"/>
        <w:lvlText w:val="%1."/>
        <w:lvlJc w:val="left"/>
      </w:lvl>
    </w:lvlOverride>
  </w:num>
  <w:num w:numId="99">
    <w:abstractNumId w:val="10"/>
    <w:lvlOverride w:ilvl="0">
      <w:lvl w:ilvl="0">
        <w:numFmt w:val="decimal"/>
        <w:lvlText w:val="%1."/>
        <w:lvlJc w:val="left"/>
      </w:lvl>
    </w:lvlOverride>
  </w:num>
  <w:num w:numId="100">
    <w:abstractNumId w:val="10"/>
    <w:lvlOverride w:ilvl="0">
      <w:lvl w:ilvl="0">
        <w:numFmt w:val="decimal"/>
        <w:lvlText w:val="%1."/>
        <w:lvlJc w:val="left"/>
      </w:lvl>
    </w:lvlOverride>
  </w:num>
  <w:num w:numId="101">
    <w:abstractNumId w:val="1"/>
    <w:lvlOverride w:ilvl="0">
      <w:lvl w:ilvl="0">
        <w:numFmt w:val="decimal"/>
        <w:lvlText w:val="%1."/>
        <w:lvlJc w:val="left"/>
      </w:lvl>
    </w:lvlOverride>
  </w:num>
  <w:num w:numId="102">
    <w:abstractNumId w:val="1"/>
    <w:lvlOverride w:ilvl="0">
      <w:lvl w:ilvl="0">
        <w:numFmt w:val="decimal"/>
        <w:lvlText w:val="%1."/>
        <w:lvlJc w:val="left"/>
      </w:lvl>
    </w:lvlOverride>
  </w:num>
  <w:num w:numId="103">
    <w:abstractNumId w:val="1"/>
    <w:lvlOverride w:ilvl="0">
      <w:lvl w:ilvl="0">
        <w:numFmt w:val="decimal"/>
        <w:lvlText w:val="%1."/>
        <w:lvlJc w:val="left"/>
      </w:lvl>
    </w:lvlOverride>
  </w:num>
  <w:num w:numId="104">
    <w:abstractNumId w:val="1"/>
    <w:lvlOverride w:ilvl="0">
      <w:lvl w:ilvl="0">
        <w:numFmt w:val="decimal"/>
        <w:lvlText w:val="%1."/>
        <w:lvlJc w:val="left"/>
      </w:lvl>
    </w:lvlOverride>
  </w:num>
  <w:num w:numId="105">
    <w:abstractNumId w:val="1"/>
    <w:lvlOverride w:ilvl="0">
      <w:lvl w:ilvl="0">
        <w:numFmt w:val="decimal"/>
        <w:lvlText w:val="%1."/>
        <w:lvlJc w:val="left"/>
      </w:lvl>
    </w:lvlOverride>
  </w:num>
  <w:num w:numId="106">
    <w:abstractNumId w:val="1"/>
    <w:lvlOverride w:ilvl="0">
      <w:lvl w:ilvl="0">
        <w:numFmt w:val="decimal"/>
        <w:lvlText w:val="%1."/>
        <w:lvlJc w:val="left"/>
      </w:lvl>
    </w:lvlOverride>
  </w:num>
  <w:num w:numId="107">
    <w:abstractNumId w:val="1"/>
    <w:lvlOverride w:ilvl="0">
      <w:lvl w:ilvl="0">
        <w:numFmt w:val="decimal"/>
        <w:lvlText w:val="%1."/>
        <w:lvlJc w:val="left"/>
      </w:lvl>
    </w:lvlOverride>
  </w:num>
  <w:num w:numId="108">
    <w:abstractNumId w:val="1"/>
    <w:lvlOverride w:ilvl="0">
      <w:lvl w:ilvl="0">
        <w:numFmt w:val="decimal"/>
        <w:lvlText w:val="%1."/>
        <w:lvlJc w:val="left"/>
      </w:lvl>
    </w:lvlOverride>
  </w:num>
  <w:num w:numId="109">
    <w:abstractNumId w:val="1"/>
    <w:lvlOverride w:ilvl="0">
      <w:lvl w:ilvl="0">
        <w:numFmt w:val="decimal"/>
        <w:lvlText w:val="%1."/>
        <w:lvlJc w:val="left"/>
      </w:lvl>
    </w:lvlOverride>
  </w:num>
  <w:num w:numId="110">
    <w:abstractNumId w:val="1"/>
    <w:lvlOverride w:ilvl="0">
      <w:lvl w:ilvl="0">
        <w:numFmt w:val="decimal"/>
        <w:lvlText w:val="%1."/>
        <w:lvlJc w:val="left"/>
      </w:lvl>
    </w:lvlOverride>
  </w:num>
  <w:num w:numId="111">
    <w:abstractNumId w:val="1"/>
    <w:lvlOverride w:ilvl="0">
      <w:lvl w:ilvl="0">
        <w:numFmt w:val="decimal"/>
        <w:lvlText w:val="%1."/>
        <w:lvlJc w:val="left"/>
      </w:lvl>
    </w:lvlOverride>
  </w:num>
  <w:num w:numId="112">
    <w:abstractNumId w:val="1"/>
    <w:lvlOverride w:ilvl="0">
      <w:lvl w:ilvl="0">
        <w:numFmt w:val="decimal"/>
        <w:lvlText w:val="%1."/>
        <w:lvlJc w:val="left"/>
      </w:lvl>
    </w:lvlOverride>
  </w:num>
  <w:num w:numId="113">
    <w:abstractNumId w:val="1"/>
    <w:lvlOverride w:ilvl="0">
      <w:lvl w:ilvl="0">
        <w:numFmt w:val="decimal"/>
        <w:lvlText w:val="%1."/>
        <w:lvlJc w:val="left"/>
      </w:lvl>
    </w:lvlOverride>
  </w:num>
  <w:num w:numId="114">
    <w:abstractNumId w:val="11"/>
  </w:num>
  <w:num w:numId="115">
    <w:abstractNumId w:val="7"/>
  </w:num>
  <w:num w:numId="116">
    <w:abstractNumId w:val="13"/>
  </w:num>
  <w:num w:numId="117">
    <w:abstractNumId w:val="9"/>
  </w:num>
  <w:num w:numId="118">
    <w:abstractNumId w:val="5"/>
  </w:num>
  <w:num w:numId="119">
    <w:abstractNumId w:val="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A4"/>
    <w:rsid w:val="00004AEB"/>
    <w:rsid w:val="00017AF5"/>
    <w:rsid w:val="00025FD0"/>
    <w:rsid w:val="00026AEC"/>
    <w:rsid w:val="00066C54"/>
    <w:rsid w:val="0007423A"/>
    <w:rsid w:val="00077419"/>
    <w:rsid w:val="00080C1F"/>
    <w:rsid w:val="000A0534"/>
    <w:rsid w:val="000A599E"/>
    <w:rsid w:val="000B345A"/>
    <w:rsid w:val="000C5AFF"/>
    <w:rsid w:val="000D7914"/>
    <w:rsid w:val="000E69E5"/>
    <w:rsid w:val="00123FB1"/>
    <w:rsid w:val="0015221C"/>
    <w:rsid w:val="0015322A"/>
    <w:rsid w:val="001613BA"/>
    <w:rsid w:val="00167D49"/>
    <w:rsid w:val="00176F1B"/>
    <w:rsid w:val="00187A03"/>
    <w:rsid w:val="001A4E40"/>
    <w:rsid w:val="001C7D7B"/>
    <w:rsid w:val="001D16FE"/>
    <w:rsid w:val="002206BC"/>
    <w:rsid w:val="00222F4A"/>
    <w:rsid w:val="00230FA4"/>
    <w:rsid w:val="0024065E"/>
    <w:rsid w:val="00254EFF"/>
    <w:rsid w:val="00280ECD"/>
    <w:rsid w:val="0028644B"/>
    <w:rsid w:val="00286762"/>
    <w:rsid w:val="002B17D8"/>
    <w:rsid w:val="002D20AA"/>
    <w:rsid w:val="002E0485"/>
    <w:rsid w:val="002E4349"/>
    <w:rsid w:val="002F33F0"/>
    <w:rsid w:val="003014A5"/>
    <w:rsid w:val="0031529F"/>
    <w:rsid w:val="003215F8"/>
    <w:rsid w:val="00323427"/>
    <w:rsid w:val="0032601E"/>
    <w:rsid w:val="003269A2"/>
    <w:rsid w:val="00332341"/>
    <w:rsid w:val="00334234"/>
    <w:rsid w:val="00340034"/>
    <w:rsid w:val="00351A7A"/>
    <w:rsid w:val="003558B7"/>
    <w:rsid w:val="00365F40"/>
    <w:rsid w:val="0037299C"/>
    <w:rsid w:val="00377DB0"/>
    <w:rsid w:val="00391836"/>
    <w:rsid w:val="00391CDF"/>
    <w:rsid w:val="003A0CD8"/>
    <w:rsid w:val="003C2FC0"/>
    <w:rsid w:val="003C4133"/>
    <w:rsid w:val="003D15A8"/>
    <w:rsid w:val="003F451F"/>
    <w:rsid w:val="00407960"/>
    <w:rsid w:val="00416BF5"/>
    <w:rsid w:val="00420D83"/>
    <w:rsid w:val="004231F5"/>
    <w:rsid w:val="00437517"/>
    <w:rsid w:val="004473A0"/>
    <w:rsid w:val="00451D1A"/>
    <w:rsid w:val="0047373B"/>
    <w:rsid w:val="00491BB5"/>
    <w:rsid w:val="004D3393"/>
    <w:rsid w:val="004E31A7"/>
    <w:rsid w:val="00503F6C"/>
    <w:rsid w:val="00520106"/>
    <w:rsid w:val="0053197F"/>
    <w:rsid w:val="005522F6"/>
    <w:rsid w:val="00583046"/>
    <w:rsid w:val="005C040D"/>
    <w:rsid w:val="005E1630"/>
    <w:rsid w:val="006055AF"/>
    <w:rsid w:val="00625380"/>
    <w:rsid w:val="00634311"/>
    <w:rsid w:val="00654BC2"/>
    <w:rsid w:val="00682E72"/>
    <w:rsid w:val="006A18CF"/>
    <w:rsid w:val="006B015A"/>
    <w:rsid w:val="006F1A50"/>
    <w:rsid w:val="007523BA"/>
    <w:rsid w:val="007631E7"/>
    <w:rsid w:val="00772CF6"/>
    <w:rsid w:val="00773CF8"/>
    <w:rsid w:val="007A5759"/>
    <w:rsid w:val="007B183F"/>
    <w:rsid w:val="007B4C11"/>
    <w:rsid w:val="00812191"/>
    <w:rsid w:val="0082194F"/>
    <w:rsid w:val="00822CA4"/>
    <w:rsid w:val="00825083"/>
    <w:rsid w:val="00862C4A"/>
    <w:rsid w:val="00872FCD"/>
    <w:rsid w:val="0087526B"/>
    <w:rsid w:val="0088029B"/>
    <w:rsid w:val="008831A7"/>
    <w:rsid w:val="00890DD0"/>
    <w:rsid w:val="00892452"/>
    <w:rsid w:val="008A1DB2"/>
    <w:rsid w:val="008A528E"/>
    <w:rsid w:val="008B3AF4"/>
    <w:rsid w:val="008D7DEF"/>
    <w:rsid w:val="008E193F"/>
    <w:rsid w:val="0091264A"/>
    <w:rsid w:val="0092211F"/>
    <w:rsid w:val="00933B28"/>
    <w:rsid w:val="00941CDD"/>
    <w:rsid w:val="00954816"/>
    <w:rsid w:val="009562B1"/>
    <w:rsid w:val="00970E47"/>
    <w:rsid w:val="00985487"/>
    <w:rsid w:val="009A0FBB"/>
    <w:rsid w:val="009B4705"/>
    <w:rsid w:val="009C3B0F"/>
    <w:rsid w:val="009D4897"/>
    <w:rsid w:val="009D5211"/>
    <w:rsid w:val="009D67E5"/>
    <w:rsid w:val="009E0827"/>
    <w:rsid w:val="009E4EEF"/>
    <w:rsid w:val="009F4687"/>
    <w:rsid w:val="00A153E4"/>
    <w:rsid w:val="00A37AB5"/>
    <w:rsid w:val="00A52525"/>
    <w:rsid w:val="00A70006"/>
    <w:rsid w:val="00A85A02"/>
    <w:rsid w:val="00A86883"/>
    <w:rsid w:val="00A90D06"/>
    <w:rsid w:val="00A92E4B"/>
    <w:rsid w:val="00AB7E40"/>
    <w:rsid w:val="00AC191D"/>
    <w:rsid w:val="00AE3ADE"/>
    <w:rsid w:val="00AE48B7"/>
    <w:rsid w:val="00AF465B"/>
    <w:rsid w:val="00AF5CA4"/>
    <w:rsid w:val="00B0179D"/>
    <w:rsid w:val="00B02857"/>
    <w:rsid w:val="00B55B0C"/>
    <w:rsid w:val="00B82482"/>
    <w:rsid w:val="00B90064"/>
    <w:rsid w:val="00B93760"/>
    <w:rsid w:val="00BB0040"/>
    <w:rsid w:val="00BB0DAD"/>
    <w:rsid w:val="00BB471E"/>
    <w:rsid w:val="00BC4D21"/>
    <w:rsid w:val="00BE1E3A"/>
    <w:rsid w:val="00C131C0"/>
    <w:rsid w:val="00C14563"/>
    <w:rsid w:val="00C515A2"/>
    <w:rsid w:val="00C552B7"/>
    <w:rsid w:val="00C97B47"/>
    <w:rsid w:val="00CC66B8"/>
    <w:rsid w:val="00CE4B0B"/>
    <w:rsid w:val="00D214C1"/>
    <w:rsid w:val="00D31F19"/>
    <w:rsid w:val="00D32E5F"/>
    <w:rsid w:val="00D36885"/>
    <w:rsid w:val="00D43F20"/>
    <w:rsid w:val="00D44DDD"/>
    <w:rsid w:val="00D50210"/>
    <w:rsid w:val="00D64CE8"/>
    <w:rsid w:val="00D67605"/>
    <w:rsid w:val="00D76E1A"/>
    <w:rsid w:val="00D8779E"/>
    <w:rsid w:val="00DC5FA3"/>
    <w:rsid w:val="00DD5A21"/>
    <w:rsid w:val="00DD676D"/>
    <w:rsid w:val="00DE2A7C"/>
    <w:rsid w:val="00E46515"/>
    <w:rsid w:val="00E67F0D"/>
    <w:rsid w:val="00E72CBA"/>
    <w:rsid w:val="00E76E85"/>
    <w:rsid w:val="00E85C4D"/>
    <w:rsid w:val="00EA27BA"/>
    <w:rsid w:val="00EB29E2"/>
    <w:rsid w:val="00F02CA8"/>
    <w:rsid w:val="00F053D4"/>
    <w:rsid w:val="00F062D2"/>
    <w:rsid w:val="00F2000B"/>
    <w:rsid w:val="00F223B9"/>
    <w:rsid w:val="00F4573F"/>
    <w:rsid w:val="00F67270"/>
    <w:rsid w:val="00F836FD"/>
    <w:rsid w:val="00F92D21"/>
    <w:rsid w:val="00FC08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0EF9"/>
  <w15:chartTrackingRefBased/>
  <w15:docId w15:val="{33860CF9-B641-4B8A-8998-5F7D1682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F4687"/>
  </w:style>
  <w:style w:type="paragraph" w:styleId="a4">
    <w:name w:val="List Paragraph"/>
    <w:basedOn w:val="a"/>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37AB5"/>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37AB5"/>
  </w:style>
  <w:style w:type="paragraph" w:styleId="a7">
    <w:name w:val="footer"/>
    <w:basedOn w:val="a"/>
    <w:link w:val="a8"/>
    <w:uiPriority w:val="99"/>
    <w:unhideWhenUsed/>
    <w:rsid w:val="00A37AB5"/>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37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42610</Words>
  <Characters>24289</Characters>
  <Application>Microsoft Office Word</Application>
  <DocSecurity>0</DocSecurity>
  <Lines>202</Lines>
  <Paragraphs>133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3</cp:revision>
  <dcterms:created xsi:type="dcterms:W3CDTF">2025-06-09T18:28:00Z</dcterms:created>
  <dcterms:modified xsi:type="dcterms:W3CDTF">2025-06-10T07:07:00Z</dcterms:modified>
</cp:coreProperties>
</file>