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E211A1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грудня 2023 року</w:t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м. Київ</w:t>
      </w:r>
    </w:p>
    <w:p w:rsidR="004D1E9D" w:rsidRPr="00E211A1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</w:t>
      </w:r>
      <w:r w:rsidR="00EB5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Pr="00EB5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B558D" w:rsidRPr="00EB558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164/зп-23</w:t>
      </w:r>
    </w:p>
    <w:p w:rsidR="004D1E9D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D1E9D" w:rsidRPr="00AA021A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Вища кваліфікаційна комісія суддів України у пленарному складі:</w:t>
      </w:r>
    </w:p>
    <w:p w:rsidR="004D1E9D" w:rsidRPr="00AA021A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5"/>
          <w:szCs w:val="25"/>
        </w:rPr>
      </w:pPr>
      <w:r w:rsidRPr="00AA021A">
        <w:rPr>
          <w:sz w:val="25"/>
          <w:szCs w:val="25"/>
        </w:rPr>
        <w:t>головуючого – Ігнатова Р.М.,</w:t>
      </w:r>
    </w:p>
    <w:p w:rsidR="00A10026" w:rsidRPr="00AA021A" w:rsidRDefault="00A10026" w:rsidP="004D1E9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A021A">
        <w:rPr>
          <w:rFonts w:ascii="Times New Roman" w:hAnsi="Times New Roman" w:cs="Times New Roman"/>
          <w:sz w:val="25"/>
          <w:szCs w:val="25"/>
        </w:rPr>
        <w:t>членів Комісії: Богоноса М.Б. (доповідач), Гацелюка В.О., Кидисюка Р.А., Коліуша О.Л., Мельника Р.І.,</w:t>
      </w:r>
      <w:r w:rsidR="00E92B41">
        <w:rPr>
          <w:rFonts w:ascii="Times New Roman" w:hAnsi="Times New Roman" w:cs="Times New Roman"/>
          <w:sz w:val="25"/>
          <w:szCs w:val="25"/>
        </w:rPr>
        <w:t xml:space="preserve"> Омельяна О.С., Пасічника А.В., </w:t>
      </w:r>
      <w:r w:rsidRPr="00AA021A">
        <w:rPr>
          <w:rFonts w:ascii="Times New Roman" w:hAnsi="Times New Roman" w:cs="Times New Roman"/>
          <w:sz w:val="25"/>
          <w:szCs w:val="25"/>
        </w:rPr>
        <w:t>Сидоровича Р.М., Чумака С.Ю., Шевчук Г.М.,</w:t>
      </w:r>
    </w:p>
    <w:p w:rsidR="00A10026" w:rsidRPr="00AA021A" w:rsidRDefault="004D1E9D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розглянувши питання про </w:t>
      </w:r>
      <w:r w:rsidRPr="00AA021A">
        <w:rPr>
          <w:rFonts w:ascii="Times New Roman" w:hAnsi="Times New Roman" w:cs="Times New Roman"/>
          <w:sz w:val="25"/>
          <w:szCs w:val="25"/>
          <w:shd w:val="clear" w:color="auto" w:fill="FFFFFF"/>
        </w:rPr>
        <w:t>надання роз’яснення пункту 28 Декларації доброчесності судді та Декларації доброчесності кандидата на посад</w:t>
      </w:r>
      <w:r w:rsidR="00FF73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 </w:t>
      </w:r>
      <w:r w:rsidRPr="00AA021A">
        <w:rPr>
          <w:rFonts w:ascii="Times New Roman" w:hAnsi="Times New Roman" w:cs="Times New Roman"/>
          <w:sz w:val="25"/>
          <w:szCs w:val="25"/>
          <w:shd w:val="clear" w:color="auto" w:fill="FFFFFF"/>
        </w:rPr>
        <w:t>судді</w:t>
      </w:r>
      <w:r w:rsidR="00FF73B3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</w:p>
    <w:p w:rsidR="00A10026" w:rsidRPr="00AA021A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A021A">
        <w:rPr>
          <w:rFonts w:ascii="Times New Roman" w:hAnsi="Times New Roman" w:cs="Times New Roman"/>
          <w:bCs/>
          <w:sz w:val="25"/>
          <w:szCs w:val="25"/>
        </w:rPr>
        <w:t>встановила:</w:t>
      </w:r>
    </w:p>
    <w:p w:rsidR="00E211A1" w:rsidRPr="00AA021A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F9784B" w:rsidRPr="00AA021A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</w:pP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Вищою кваліфікаційною комісією суддів України 31 жовтня 2016 року ухвалено рішення № 137/зп-16, яким</w:t>
      </w:r>
      <w:r w:rsid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</w:t>
      </w: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затверджено форму декларації доброчесності судді. </w:t>
      </w:r>
    </w:p>
    <w:p w:rsidR="00F9784B" w:rsidRPr="00AA021A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</w:pP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24 вересня 2018 року Комісія ухвалила рішення № 205/зп-18 про затвердження форми декларації доброчесності кандидата на посаду судді та внесення змін до форми декларації доброчесності судді, затвердженої рішенням Ко</w:t>
      </w:r>
      <w:r w:rsidR="00FF73B3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місії від 31 жовтня 2016 року № </w:t>
      </w: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137/зп-16.</w:t>
      </w:r>
    </w:p>
    <w:p w:rsidR="00F9784B" w:rsidRPr="00AA021A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</w:pP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Рішенням Комісії від 02 листопада 2023 року № 120/зп-23 внесен</w:t>
      </w:r>
      <w:r w:rsidR="00FF73B3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о</w:t>
      </w: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зміни до форми декларації доброчесності судді, затвердженої рішенням </w:t>
      </w:r>
      <w:r w:rsidR="00FF73B3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Комісії від 31 жовтня 2016 року № 137/зп-16 зі змінами, </w:t>
      </w: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та форми декларації доброчесності кандидата на посаду судді, затвердженої рішенням</w:t>
      </w:r>
      <w:r w:rsidR="00FF73B3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Комісії</w:t>
      </w: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від 24 вересня 2018 р</w:t>
      </w:r>
      <w:r w:rsidR="00FF73B3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оку № 205/зп-18, та викладено їх</w:t>
      </w:r>
      <w:r w:rsidRPr="00AA021A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в новій редакції.</w:t>
      </w:r>
    </w:p>
    <w:p w:rsidR="00BB2A62" w:rsidRPr="00AA021A" w:rsidRDefault="00D5542A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15 листопада 2023 року на адресу Комісії надійшло звернення судді Окружного адміністративного суду міста Києва Саніна Богдана Володимировича, в якому </w:t>
      </w:r>
      <w:r w:rsidR="00BB2A62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він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BB2A62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зазначає, що у пункті 28 </w:t>
      </w:r>
      <w:r w:rsid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д</w:t>
      </w:r>
      <w:r w:rsidR="00BB2A62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еклараці</w:t>
      </w:r>
      <w:r w:rsid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й</w:t>
      </w:r>
      <w:r w:rsidR="00BB2A62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декларується твердження такого змісту: «Мною не вчинялися діяння, що мали наслідком притягнення мене до юридичної відповідальності».</w:t>
      </w:r>
    </w:p>
    <w:p w:rsidR="00BB2A62" w:rsidRPr="00AA021A" w:rsidRDefault="00ED0AD7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Суддя з</w:t>
      </w:r>
      <w:r w:rsid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ауважує, що у</w:t>
      </w:r>
      <w:r w:rsidR="00BB2A62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пункті 9 </w:t>
      </w:r>
      <w:r w:rsidR="00BB2A62" w:rsidRPr="00AA021A">
        <w:rPr>
          <w:rFonts w:ascii="Times New Roman" w:eastAsia="Times New Roman" w:hAnsi="Times New Roman" w:cs="Times New Roman"/>
          <w:bCs/>
          <w:sz w:val="25"/>
          <w:szCs w:val="25"/>
          <w:lang w:eastAsia="uk-UA"/>
        </w:rPr>
        <w:t>Правил заповнення та подання форми декларації доброчесності судді передбачено, що т</w:t>
      </w:r>
      <w:r w:rsidR="00BB2A62" w:rsidRPr="00AA021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вердження у пункті 28 стосується усіх видів юридичної відповідальності та декларується шляхом підтвердження, в тому числі у випадку оскарження та/або скасування рішення про притягнення до відповідальності, а також</w:t>
      </w:r>
      <w:r w:rsidR="00BB2A62" w:rsidRPr="00584E25"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  <w:t xml:space="preserve"> </w:t>
      </w:r>
      <w:r w:rsidR="00BB2A62" w:rsidRPr="00AA021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у</w:t>
      </w:r>
      <w:r w:rsidR="00BB2A62" w:rsidRPr="00584E25"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  <w:t xml:space="preserve"> </w:t>
      </w:r>
      <w:r w:rsidR="00BB2A62" w:rsidRPr="00AA021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випадках, якщо особа вважається такою, що не притягувалася до відповідальності внаслідок спливу відповідних строків.</w:t>
      </w:r>
    </w:p>
    <w:p w:rsidR="00882A77" w:rsidRPr="00AA021A" w:rsidRDefault="00BB2A62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З метою кор</w:t>
      </w:r>
      <w:r w:rsidR="00ED0AD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ектного декларування твердження, 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передбаченого пунктом 28, Санін</w:t>
      </w:r>
      <w:r w:rsidR="00584E25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Б.В. просить </w:t>
      </w:r>
      <w:r w:rsidR="00D5542A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надати 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таке </w:t>
      </w:r>
      <w:r w:rsidR="00D5542A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роз’</w:t>
      </w:r>
      <w:r w:rsidR="004F7776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яснення</w:t>
      </w:r>
      <w:r w:rsidR="000F2C6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:</w:t>
      </w:r>
    </w:p>
    <w:p w:rsidR="00882A77" w:rsidRPr="00AA021A" w:rsidRDefault="00ED0AD7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1.</w:t>
      </w:r>
      <w:r w:rsidR="00882A77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0F2C6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Чи зобов’язаний суб’єкт декларування проставляти відмітку </w:t>
      </w:r>
      <w:r w:rsidR="00C11383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у</w:t>
      </w:r>
      <w:r w:rsidR="000F2C6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графі «Не підтверджую», якщо певне діяння було вчинене </w:t>
      </w:r>
      <w:r w:rsidR="00EC0E5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ним</w:t>
      </w:r>
      <w:r w:rsidR="000F2C6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до звітного періоду, а притягнення </w:t>
      </w:r>
      <w:r w:rsidR="00EC0E5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до відповідальності</w:t>
      </w:r>
      <w:r w:rsidR="000F2C6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відбулось </w:t>
      </w:r>
      <w:r w:rsidR="00EC0E5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(або відбувається) у звітному періоді?</w:t>
      </w:r>
    </w:p>
    <w:p w:rsidR="000C650F" w:rsidRPr="00AA021A" w:rsidRDefault="00ED0AD7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2.</w:t>
      </w:r>
      <w:r w:rsidR="00882A77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EC0E5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Чи зобов’язаний суб’єкт декларування проставляти відмітку у графі «Не підтверджую», якщо в звітному році з нього стягнуто кошти та виконавчий збір за виконавчим провадженням, яке було відкрито до звітного періоду (</w:t>
      </w:r>
      <w:r w:rsidR="002C5EB1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 огляду на те, що </w:t>
      </w:r>
      <w:r w:rsidR="00EC0E5D"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окремі науковці відносять виконавчий збір за його правовою природою до матеріальної відповідальності)?</w:t>
      </w:r>
    </w:p>
    <w:p w:rsidR="00BB2A62" w:rsidRPr="00AA021A" w:rsidRDefault="00BB2A62" w:rsidP="00DF1CAA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Підпунктом 58.9 пункту 58 Регламенту Вищої кваліфі</w:t>
      </w:r>
      <w:r w:rsidR="00ED0AD7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каційної комісії суддів України, 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затвердженого рішенням Вищої кваліфікаційної комісії суддів України</w:t>
      </w:r>
      <w:r w:rsidR="00ED0AD7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від</w:t>
      </w:r>
      <w:r w:rsidR="00584E25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ED0AD7">
        <w:rPr>
          <w:rFonts w:ascii="Times New Roman" w:hAnsi="Times New Roman" w:cs="Times New Roman"/>
          <w:bCs/>
          <w:sz w:val="25"/>
          <w:szCs w:val="25"/>
          <w:lang w:eastAsia="uk-UA"/>
        </w:rPr>
        <w:t>13</w:t>
      </w:r>
      <w:r w:rsidR="00584E25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533851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жовтня 2016 року № 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81/зп-16 (в редакції рішення Вищої кваліфікаційної комісії суддів України</w:t>
      </w:r>
      <w:r w:rsidR="00533851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від 19 жовтня 2023 року № 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119/зп-23)</w:t>
      </w:r>
      <w:r w:rsidR="00533851">
        <w:rPr>
          <w:rFonts w:ascii="Times New Roman" w:hAnsi="Times New Roman" w:cs="Times New Roman"/>
          <w:bCs/>
          <w:sz w:val="25"/>
          <w:szCs w:val="25"/>
          <w:lang w:eastAsia="uk-UA"/>
        </w:rPr>
        <w:t>,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передбачено, що Комісія у пленарному складі визначає форми декларації родинних зв’язків та декларації доброчесності, а також правила заповнення та подання декларацій, за зверненням суддів надає роз’яснення з питань, що стосуються заповнення та подання декларацій.</w:t>
      </w:r>
    </w:p>
    <w:p w:rsidR="00FB50D8" w:rsidRPr="00AA021A" w:rsidRDefault="00704E31" w:rsidP="00DF1CAA">
      <w:pPr>
        <w:pStyle w:val="a3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Заслухавши доповідача та обговоривши зазначене питання порядку денного засідання, Комісія вважає за необхідне</w:t>
      </w:r>
      <w:r w:rsidR="00FB50D8"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надати роз’яснення щодо </w:t>
      </w:r>
      <w:r w:rsidR="00BB2A62"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декларування тверджень </w:t>
      </w:r>
      <w:r w:rsidR="00FB50D8"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пункту 28 декларації доброчесності.</w:t>
      </w:r>
    </w:p>
    <w:p w:rsidR="00A10026" w:rsidRPr="00E92B41" w:rsidRDefault="00723ECA" w:rsidP="00DF1CAA">
      <w:pPr>
        <w:pStyle w:val="a3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A021A">
        <w:rPr>
          <w:rFonts w:ascii="Times New Roman" w:hAnsi="Times New Roman" w:cs="Times New Roman"/>
          <w:sz w:val="25"/>
          <w:szCs w:val="25"/>
        </w:rPr>
        <w:t>Керуючись статтею 92 Закону України «Про судоустрій і статус суддів», Вища кваліфікаційна комісія суддів України</w:t>
      </w:r>
      <w:r w:rsidR="004F7776" w:rsidRPr="00AA021A">
        <w:rPr>
          <w:rFonts w:ascii="Times New Roman" w:hAnsi="Times New Roman" w:cs="Times New Roman"/>
          <w:sz w:val="25"/>
          <w:szCs w:val="25"/>
        </w:rPr>
        <w:t xml:space="preserve"> </w:t>
      </w:r>
      <w:r w:rsidR="00E92B41">
        <w:rPr>
          <w:rFonts w:ascii="Times New Roman" w:hAnsi="Times New Roman" w:cs="Times New Roman"/>
          <w:sz w:val="25"/>
          <w:szCs w:val="25"/>
        </w:rPr>
        <w:t>десятьма голосами – за, одним голосом - проти</w:t>
      </w:r>
    </w:p>
    <w:p w:rsidR="00FB50D8" w:rsidRPr="00AA021A" w:rsidRDefault="00FB50D8" w:rsidP="00FB50D8">
      <w:pPr>
        <w:pStyle w:val="a3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4D1E9D" w:rsidRPr="00AA021A" w:rsidRDefault="004D1E9D" w:rsidP="00A63DB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вирішила:</w:t>
      </w:r>
    </w:p>
    <w:p w:rsidR="004A5E61" w:rsidRPr="00AA021A" w:rsidRDefault="0086305D" w:rsidP="00B66447">
      <w:pPr>
        <w:pStyle w:val="a3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AA021A">
        <w:rPr>
          <w:rFonts w:ascii="Times New Roman" w:hAnsi="Times New Roman" w:cs="Times New Roman"/>
          <w:color w:val="1D1D1B"/>
          <w:sz w:val="25"/>
          <w:szCs w:val="25"/>
        </w:rPr>
        <w:t>н</w:t>
      </w:r>
      <w:r w:rsidR="00FB50D8" w:rsidRPr="00AA021A">
        <w:rPr>
          <w:rFonts w:ascii="Times New Roman" w:hAnsi="Times New Roman" w:cs="Times New Roman"/>
          <w:color w:val="1D1D1B"/>
          <w:sz w:val="25"/>
          <w:szCs w:val="25"/>
        </w:rPr>
        <w:t xml:space="preserve">адати роз’яснення щодо </w:t>
      </w:r>
      <w:r w:rsidR="004A5E61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>декларування</w:t>
      </w:r>
      <w:r w:rsidR="00090F3F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 xml:space="preserve"> </w:t>
      </w:r>
      <w:r w:rsidR="004A5E61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>тверджен</w:t>
      </w:r>
      <w:r w:rsidR="00D85F16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>ня</w:t>
      </w:r>
      <w:r w:rsidR="004A5E61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 xml:space="preserve"> </w:t>
      </w:r>
      <w:r w:rsidR="00090F3F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 xml:space="preserve">у пункті </w:t>
      </w:r>
      <w:r w:rsidR="004A5E61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 xml:space="preserve">28 </w:t>
      </w:r>
      <w:r w:rsidR="00533851">
        <w:rPr>
          <w:rFonts w:ascii="Times New Roman" w:hAnsi="Times New Roman" w:cs="Times New Roman"/>
          <w:bCs/>
          <w:color w:val="1D1D1B"/>
          <w:sz w:val="25"/>
          <w:szCs w:val="25"/>
        </w:rPr>
        <w:t>д</w:t>
      </w:r>
      <w:r w:rsidR="004A5E61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>екларації доброчесності</w:t>
      </w:r>
      <w:r w:rsidR="00090F3F" w:rsidRPr="00AA021A">
        <w:rPr>
          <w:rFonts w:ascii="Times New Roman" w:hAnsi="Times New Roman" w:cs="Times New Roman"/>
          <w:bCs/>
          <w:color w:val="1D1D1B"/>
          <w:sz w:val="25"/>
          <w:szCs w:val="25"/>
        </w:rPr>
        <w:t xml:space="preserve"> </w:t>
      </w:r>
      <w:r w:rsidR="00090F3F" w:rsidRPr="00AA021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судді </w:t>
      </w:r>
      <w:r w:rsidR="002C5EB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(аналогічне твердження міститься у пункті 28 </w:t>
      </w:r>
      <w:r w:rsidR="00533851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д</w:t>
      </w:r>
      <w:r w:rsidR="002C5EB1" w:rsidRPr="002C5EB1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екларації доброчесності </w:t>
      </w:r>
      <w:r w:rsidR="002C5EB1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кандидата на посаду </w:t>
      </w:r>
      <w:r w:rsidR="002C5EB1" w:rsidRPr="002C5EB1">
        <w:rPr>
          <w:rFonts w:ascii="Times New Roman" w:hAnsi="Times New Roman" w:cs="Times New Roman"/>
          <w:sz w:val="25"/>
          <w:szCs w:val="25"/>
          <w:shd w:val="clear" w:color="auto" w:fill="FFFFFF"/>
        </w:rPr>
        <w:t>судді</w:t>
      </w:r>
      <w:r w:rsidR="002C5EB1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2C5EB1" w:rsidRPr="002C5EB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533851">
        <w:rPr>
          <w:rFonts w:ascii="Times New Roman" w:hAnsi="Times New Roman" w:cs="Times New Roman"/>
          <w:sz w:val="25"/>
          <w:szCs w:val="25"/>
          <w:shd w:val="clear" w:color="auto" w:fill="FFFFFF"/>
        </w:rPr>
        <w:t>у редакції, що додається.</w:t>
      </w:r>
    </w:p>
    <w:p w:rsidR="00347F02" w:rsidRPr="00347F02" w:rsidRDefault="00347F02" w:rsidP="00FF73B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4D1E9D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5"/>
          <w:szCs w:val="25"/>
        </w:rPr>
      </w:pPr>
      <w:r w:rsidRPr="0094667C">
        <w:rPr>
          <w:color w:val="1D1D1B"/>
          <w:sz w:val="25"/>
          <w:szCs w:val="25"/>
        </w:rPr>
        <w:t>Головуючий</w:t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Р.М. Ігнатов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5"/>
          <w:szCs w:val="25"/>
        </w:rPr>
      </w:pPr>
      <w:r w:rsidRPr="0094667C">
        <w:rPr>
          <w:color w:val="1D1D1B"/>
          <w:sz w:val="25"/>
          <w:szCs w:val="25"/>
        </w:rPr>
        <w:t>Члени Комісії:</w:t>
      </w:r>
      <w:r w:rsidRPr="0094667C">
        <w:rPr>
          <w:sz w:val="25"/>
          <w:szCs w:val="25"/>
          <w:lang w:eastAsia="ru-RU"/>
        </w:rPr>
        <w:t xml:space="preserve"> </w:t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М.Б. Богоніс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В.О. Гацелюк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Р.А. Кидисюк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О.Л. Коліуш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Р.І. Мельник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О.С. Омельян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А.В. Пасічник</w:t>
      </w:r>
    </w:p>
    <w:p w:rsidR="00A10026" w:rsidRPr="0094667C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color w:val="1D1D1B"/>
          <w:sz w:val="25"/>
          <w:szCs w:val="25"/>
        </w:rPr>
        <w:t>Р.М. Сидорович</w:t>
      </w:r>
    </w:p>
    <w:p w:rsidR="00A10026" w:rsidRPr="00A10026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94667C">
        <w:rPr>
          <w:sz w:val="25"/>
          <w:szCs w:val="25"/>
          <w:lang w:eastAsia="ru-RU"/>
        </w:rPr>
        <w:tab/>
      </w:r>
      <w:r w:rsidRPr="00A10026">
        <w:rPr>
          <w:sz w:val="25"/>
          <w:szCs w:val="25"/>
          <w:lang w:eastAsia="ru-RU"/>
        </w:rPr>
        <w:tab/>
      </w:r>
      <w:r w:rsidRPr="00A10026">
        <w:rPr>
          <w:sz w:val="25"/>
          <w:szCs w:val="25"/>
          <w:lang w:eastAsia="ru-RU"/>
        </w:rPr>
        <w:tab/>
      </w:r>
      <w:r w:rsidRPr="00A10026">
        <w:rPr>
          <w:sz w:val="25"/>
          <w:szCs w:val="25"/>
          <w:lang w:eastAsia="ru-RU"/>
        </w:rPr>
        <w:tab/>
      </w:r>
      <w:r w:rsidRPr="00A10026">
        <w:rPr>
          <w:color w:val="1D1D1B"/>
          <w:sz w:val="25"/>
          <w:szCs w:val="25"/>
        </w:rPr>
        <w:t>С.Ю. Чумак</w:t>
      </w:r>
    </w:p>
    <w:p w:rsidR="00D80FA7" w:rsidRDefault="00A10026" w:rsidP="00A10026">
      <w:pPr>
        <w:rPr>
          <w:rFonts w:ascii="Times New Roman" w:hAnsi="Times New Roman" w:cs="Times New Roman"/>
          <w:color w:val="1D1D1B"/>
          <w:sz w:val="25"/>
          <w:szCs w:val="25"/>
        </w:rPr>
      </w:pP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A10026">
        <w:rPr>
          <w:rFonts w:ascii="Times New Roman" w:hAnsi="Times New Roman" w:cs="Times New Roman"/>
          <w:color w:val="1D1D1B"/>
          <w:sz w:val="25"/>
          <w:szCs w:val="25"/>
        </w:rPr>
        <w:t>Г.М. Шевчук</w:t>
      </w:r>
    </w:p>
    <w:sectPr w:rsidR="00D80FA7" w:rsidSect="0080386D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25" w:rsidRDefault="00584E25" w:rsidP="0080386D">
      <w:pPr>
        <w:spacing w:after="0" w:line="240" w:lineRule="auto"/>
      </w:pPr>
      <w:r>
        <w:separator/>
      </w:r>
    </w:p>
  </w:endnote>
  <w:endnote w:type="continuationSeparator" w:id="0">
    <w:p w:rsidR="00584E25" w:rsidRDefault="00584E25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25" w:rsidRDefault="00584E25" w:rsidP="0080386D">
      <w:pPr>
        <w:spacing w:after="0" w:line="240" w:lineRule="auto"/>
      </w:pPr>
      <w:r>
        <w:separator/>
      </w:r>
    </w:p>
  </w:footnote>
  <w:footnote w:type="continuationSeparator" w:id="0">
    <w:p w:rsidR="00584E25" w:rsidRDefault="00584E25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584E25" w:rsidRDefault="00584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58D">
          <w:rPr>
            <w:noProof/>
          </w:rPr>
          <w:t>2</w:t>
        </w:r>
        <w:r>
          <w:fldChar w:fldCharType="end"/>
        </w:r>
      </w:p>
    </w:sdtContent>
  </w:sdt>
  <w:p w:rsidR="00584E25" w:rsidRDefault="00584E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90F3F"/>
    <w:rsid w:val="000C650F"/>
    <w:rsid w:val="000F2C6D"/>
    <w:rsid w:val="00112CF0"/>
    <w:rsid w:val="00133008"/>
    <w:rsid w:val="001452F1"/>
    <w:rsid w:val="001C3BA7"/>
    <w:rsid w:val="00220F70"/>
    <w:rsid w:val="00233851"/>
    <w:rsid w:val="00273DEE"/>
    <w:rsid w:val="002C5EB1"/>
    <w:rsid w:val="002E4816"/>
    <w:rsid w:val="003476C0"/>
    <w:rsid w:val="00347F02"/>
    <w:rsid w:val="003C7497"/>
    <w:rsid w:val="00454DE0"/>
    <w:rsid w:val="004A0CD7"/>
    <w:rsid w:val="004A5E61"/>
    <w:rsid w:val="004B2406"/>
    <w:rsid w:val="004D1E9D"/>
    <w:rsid w:val="004F7776"/>
    <w:rsid w:val="00533851"/>
    <w:rsid w:val="00584E25"/>
    <w:rsid w:val="00704E31"/>
    <w:rsid w:val="00723ECA"/>
    <w:rsid w:val="00794A7D"/>
    <w:rsid w:val="007E586C"/>
    <w:rsid w:val="0080386D"/>
    <w:rsid w:val="0086305D"/>
    <w:rsid w:val="00882A77"/>
    <w:rsid w:val="00961C5C"/>
    <w:rsid w:val="009F249D"/>
    <w:rsid w:val="00A07392"/>
    <w:rsid w:val="00A10026"/>
    <w:rsid w:val="00A33ECB"/>
    <w:rsid w:val="00A63DB1"/>
    <w:rsid w:val="00A810FD"/>
    <w:rsid w:val="00A91207"/>
    <w:rsid w:val="00AA021A"/>
    <w:rsid w:val="00AF0B11"/>
    <w:rsid w:val="00AF5C21"/>
    <w:rsid w:val="00B66447"/>
    <w:rsid w:val="00B85CA9"/>
    <w:rsid w:val="00BB2A62"/>
    <w:rsid w:val="00C02010"/>
    <w:rsid w:val="00C11383"/>
    <w:rsid w:val="00C81972"/>
    <w:rsid w:val="00C94EF1"/>
    <w:rsid w:val="00CD4501"/>
    <w:rsid w:val="00CE1105"/>
    <w:rsid w:val="00CF216E"/>
    <w:rsid w:val="00D30CC3"/>
    <w:rsid w:val="00D5542A"/>
    <w:rsid w:val="00D80FA7"/>
    <w:rsid w:val="00D85F16"/>
    <w:rsid w:val="00DE412E"/>
    <w:rsid w:val="00DF1CAA"/>
    <w:rsid w:val="00E172C4"/>
    <w:rsid w:val="00E211A1"/>
    <w:rsid w:val="00E92B41"/>
    <w:rsid w:val="00EB558D"/>
    <w:rsid w:val="00EC0E5D"/>
    <w:rsid w:val="00ED0AD7"/>
    <w:rsid w:val="00F30776"/>
    <w:rsid w:val="00F9784B"/>
    <w:rsid w:val="00FA1F0A"/>
    <w:rsid w:val="00FB50D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Власенко Наталія Євгеніївна</cp:lastModifiedBy>
  <cp:revision>2</cp:revision>
  <cp:lastPrinted>2023-12-07T16:56:00Z</cp:lastPrinted>
  <dcterms:created xsi:type="dcterms:W3CDTF">2023-12-12T12:48:00Z</dcterms:created>
  <dcterms:modified xsi:type="dcterms:W3CDTF">2023-12-12T12:48:00Z</dcterms:modified>
</cp:coreProperties>
</file>