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0B4" w:rsidRPr="002B41AA" w:rsidRDefault="007450B4" w:rsidP="00C55236">
      <w:pPr>
        <w:spacing w:after="0" w:line="240" w:lineRule="auto"/>
        <w:jc w:val="center"/>
        <w:rPr>
          <w:rFonts w:ascii="Times New Roman" w:eastAsia="Times New Roman" w:hAnsi="Times New Roman" w:cs="Times New Roman"/>
          <w:sz w:val="24"/>
          <w:szCs w:val="24"/>
        </w:rPr>
      </w:pPr>
      <w:r w:rsidRPr="002B41AA">
        <w:rPr>
          <w:rFonts w:ascii="Times New Roman" w:eastAsia="Times New Roman" w:hAnsi="Times New Roman" w:cs="Times New Roman"/>
          <w:noProof/>
          <w:sz w:val="28"/>
          <w:szCs w:val="28"/>
        </w:rPr>
        <w:drawing>
          <wp:inline distT="0" distB="0" distL="0" distR="0" wp14:anchorId="5BF78FA4" wp14:editId="434E5DD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450B4" w:rsidRPr="002B41AA" w:rsidRDefault="007450B4" w:rsidP="00C55236">
      <w:pPr>
        <w:spacing w:after="0" w:line="240" w:lineRule="auto"/>
        <w:rPr>
          <w:rFonts w:ascii="Times New Roman" w:eastAsia="Times New Roman" w:hAnsi="Times New Roman" w:cs="Times New Roman"/>
          <w:sz w:val="27"/>
          <w:szCs w:val="27"/>
        </w:rPr>
      </w:pPr>
    </w:p>
    <w:p w:rsidR="007450B4" w:rsidRPr="002B41AA" w:rsidRDefault="007450B4" w:rsidP="00C55236">
      <w:pPr>
        <w:widowControl w:val="0"/>
        <w:spacing w:after="0" w:line="240" w:lineRule="auto"/>
        <w:jc w:val="center"/>
        <w:rPr>
          <w:rFonts w:ascii="Times New Roman" w:eastAsia="Times New Roman" w:hAnsi="Times New Roman" w:cs="Times New Roman"/>
          <w:sz w:val="36"/>
          <w:szCs w:val="36"/>
        </w:rPr>
      </w:pPr>
      <w:r w:rsidRPr="002B41AA">
        <w:rPr>
          <w:rFonts w:ascii="Times New Roman" w:eastAsia="Times New Roman" w:hAnsi="Times New Roman" w:cs="Times New Roman"/>
          <w:sz w:val="36"/>
          <w:szCs w:val="36"/>
        </w:rPr>
        <w:t>ВИЩА КВАЛІФІКАЦІЙНА КОМІСІЯ СУДДІВ УКРАЇНИ</w:t>
      </w:r>
    </w:p>
    <w:p w:rsidR="007450B4" w:rsidRPr="002B41AA" w:rsidRDefault="007450B4" w:rsidP="00C55236">
      <w:pPr>
        <w:spacing w:after="0" w:line="240" w:lineRule="auto"/>
        <w:jc w:val="center"/>
        <w:rPr>
          <w:rFonts w:ascii="Times New Roman" w:eastAsia="Times New Roman" w:hAnsi="Times New Roman" w:cs="Times New Roman"/>
          <w:sz w:val="26"/>
          <w:szCs w:val="26"/>
        </w:rPr>
      </w:pPr>
    </w:p>
    <w:p w:rsidR="007450B4" w:rsidRPr="002B41AA" w:rsidRDefault="00C55236" w:rsidP="00C55236">
      <w:pPr>
        <w:spacing w:after="0" w:line="240" w:lineRule="auto"/>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25</w:t>
      </w:r>
      <w:r w:rsidR="007450B4" w:rsidRPr="002B41AA">
        <w:rPr>
          <w:rFonts w:ascii="Times New Roman" w:eastAsia="Times New Roman" w:hAnsi="Times New Roman" w:cs="Times New Roman"/>
          <w:sz w:val="26"/>
          <w:szCs w:val="26"/>
        </w:rPr>
        <w:t xml:space="preserve"> </w:t>
      </w:r>
      <w:r w:rsidRPr="002B41AA">
        <w:rPr>
          <w:rFonts w:ascii="Times New Roman" w:eastAsia="Times New Roman" w:hAnsi="Times New Roman" w:cs="Times New Roman"/>
          <w:sz w:val="26"/>
          <w:szCs w:val="26"/>
        </w:rPr>
        <w:t>червня</w:t>
      </w:r>
      <w:r w:rsidR="007450B4" w:rsidRPr="002B41AA">
        <w:rPr>
          <w:rFonts w:ascii="Times New Roman" w:eastAsia="Times New Roman" w:hAnsi="Times New Roman" w:cs="Times New Roman"/>
          <w:sz w:val="26"/>
          <w:szCs w:val="26"/>
        </w:rPr>
        <w:t xml:space="preserve"> 2025 року </w:t>
      </w:r>
      <w:r w:rsidR="007450B4" w:rsidRPr="002B41AA">
        <w:rPr>
          <w:rFonts w:ascii="Times New Roman" w:eastAsia="Times New Roman" w:hAnsi="Times New Roman" w:cs="Times New Roman"/>
          <w:sz w:val="26"/>
          <w:szCs w:val="26"/>
        </w:rPr>
        <w:tab/>
      </w:r>
      <w:r w:rsidR="007450B4" w:rsidRPr="002B41AA">
        <w:rPr>
          <w:rFonts w:ascii="Times New Roman" w:eastAsia="Times New Roman" w:hAnsi="Times New Roman" w:cs="Times New Roman"/>
          <w:sz w:val="26"/>
          <w:szCs w:val="26"/>
        </w:rPr>
        <w:tab/>
      </w:r>
      <w:r w:rsidR="007450B4" w:rsidRPr="002B41AA">
        <w:rPr>
          <w:rFonts w:ascii="Times New Roman" w:eastAsia="Times New Roman" w:hAnsi="Times New Roman" w:cs="Times New Roman"/>
          <w:sz w:val="26"/>
          <w:szCs w:val="26"/>
        </w:rPr>
        <w:tab/>
      </w:r>
      <w:r w:rsidR="007450B4" w:rsidRPr="002B41AA">
        <w:rPr>
          <w:rFonts w:ascii="Times New Roman" w:eastAsia="Times New Roman" w:hAnsi="Times New Roman" w:cs="Times New Roman"/>
          <w:sz w:val="26"/>
          <w:szCs w:val="26"/>
        </w:rPr>
        <w:tab/>
      </w:r>
      <w:r w:rsidR="007450B4" w:rsidRPr="002B41AA">
        <w:rPr>
          <w:rFonts w:ascii="Times New Roman" w:eastAsia="Times New Roman" w:hAnsi="Times New Roman" w:cs="Times New Roman"/>
          <w:sz w:val="26"/>
          <w:szCs w:val="26"/>
        </w:rPr>
        <w:tab/>
      </w:r>
      <w:r w:rsidR="007450B4" w:rsidRPr="002B41AA">
        <w:rPr>
          <w:rFonts w:ascii="Times New Roman" w:eastAsia="Times New Roman" w:hAnsi="Times New Roman" w:cs="Times New Roman"/>
          <w:sz w:val="26"/>
          <w:szCs w:val="26"/>
        </w:rPr>
        <w:tab/>
      </w:r>
      <w:r w:rsidR="007450B4" w:rsidRPr="002B41AA">
        <w:rPr>
          <w:rFonts w:ascii="Times New Roman" w:eastAsia="Times New Roman" w:hAnsi="Times New Roman" w:cs="Times New Roman"/>
          <w:sz w:val="26"/>
          <w:szCs w:val="26"/>
        </w:rPr>
        <w:tab/>
      </w:r>
      <w:r w:rsidR="007450B4" w:rsidRPr="002B41AA">
        <w:rPr>
          <w:rFonts w:ascii="Times New Roman" w:eastAsia="Times New Roman" w:hAnsi="Times New Roman" w:cs="Times New Roman"/>
          <w:sz w:val="26"/>
          <w:szCs w:val="26"/>
        </w:rPr>
        <w:tab/>
      </w:r>
      <w:r w:rsidR="00DB5613" w:rsidRPr="002B41AA">
        <w:rPr>
          <w:rFonts w:ascii="Times New Roman" w:eastAsia="Times New Roman" w:hAnsi="Times New Roman" w:cs="Times New Roman"/>
          <w:sz w:val="26"/>
          <w:szCs w:val="26"/>
        </w:rPr>
        <w:t xml:space="preserve"> </w:t>
      </w:r>
      <w:r w:rsidR="00DB5613" w:rsidRPr="002B41AA">
        <w:rPr>
          <w:rFonts w:ascii="Times New Roman" w:eastAsia="Times New Roman" w:hAnsi="Times New Roman" w:cs="Times New Roman"/>
          <w:sz w:val="26"/>
          <w:szCs w:val="26"/>
        </w:rPr>
        <w:tab/>
        <w:t xml:space="preserve">     </w:t>
      </w:r>
      <w:r w:rsidR="007450B4" w:rsidRPr="002B41AA">
        <w:rPr>
          <w:rFonts w:ascii="Times New Roman" w:eastAsia="Times New Roman" w:hAnsi="Times New Roman" w:cs="Times New Roman"/>
          <w:sz w:val="26"/>
          <w:szCs w:val="26"/>
        </w:rPr>
        <w:t>м. Київ</w:t>
      </w:r>
    </w:p>
    <w:p w:rsidR="007450B4" w:rsidRPr="002B41AA" w:rsidRDefault="007450B4" w:rsidP="00C55236">
      <w:pPr>
        <w:spacing w:after="0" w:line="240" w:lineRule="auto"/>
        <w:rPr>
          <w:rFonts w:ascii="Times New Roman" w:eastAsia="Times New Roman" w:hAnsi="Times New Roman" w:cs="Times New Roman"/>
          <w:sz w:val="26"/>
          <w:szCs w:val="26"/>
        </w:rPr>
      </w:pPr>
    </w:p>
    <w:p w:rsidR="007450B4" w:rsidRPr="002B41AA" w:rsidRDefault="007450B4" w:rsidP="00C55236">
      <w:pPr>
        <w:spacing w:after="0" w:line="240" w:lineRule="auto"/>
        <w:jc w:val="center"/>
        <w:rPr>
          <w:rFonts w:ascii="Times New Roman" w:eastAsia="Times New Roman" w:hAnsi="Times New Roman" w:cs="Times New Roman"/>
          <w:sz w:val="26"/>
          <w:szCs w:val="26"/>
          <w:u w:val="single"/>
        </w:rPr>
      </w:pPr>
      <w:r w:rsidRPr="002B41AA">
        <w:rPr>
          <w:rFonts w:ascii="Times New Roman" w:eastAsia="Times New Roman" w:hAnsi="Times New Roman" w:cs="Times New Roman"/>
          <w:sz w:val="26"/>
          <w:szCs w:val="26"/>
        </w:rPr>
        <w:t xml:space="preserve">Р І Ш Е Н </w:t>
      </w:r>
      <w:proofErr w:type="spellStart"/>
      <w:r w:rsidRPr="002B41AA">
        <w:rPr>
          <w:rFonts w:ascii="Times New Roman" w:eastAsia="Times New Roman" w:hAnsi="Times New Roman" w:cs="Times New Roman"/>
          <w:sz w:val="26"/>
          <w:szCs w:val="26"/>
        </w:rPr>
        <w:t>Н</w:t>
      </w:r>
      <w:proofErr w:type="spellEnd"/>
      <w:r w:rsidRPr="002B41AA">
        <w:rPr>
          <w:rFonts w:ascii="Times New Roman" w:eastAsia="Times New Roman" w:hAnsi="Times New Roman" w:cs="Times New Roman"/>
          <w:sz w:val="26"/>
          <w:szCs w:val="26"/>
        </w:rPr>
        <w:t xml:space="preserve"> Я</w:t>
      </w:r>
      <w:r w:rsidR="002B41AA">
        <w:rPr>
          <w:rFonts w:ascii="Times New Roman" w:eastAsia="Times New Roman" w:hAnsi="Times New Roman" w:cs="Times New Roman"/>
          <w:sz w:val="26"/>
          <w:szCs w:val="26"/>
        </w:rPr>
        <w:t xml:space="preserve"> </w:t>
      </w:r>
      <w:r w:rsidRPr="002B41AA">
        <w:rPr>
          <w:rFonts w:ascii="Times New Roman" w:eastAsia="Times New Roman" w:hAnsi="Times New Roman" w:cs="Times New Roman"/>
          <w:sz w:val="26"/>
          <w:szCs w:val="26"/>
        </w:rPr>
        <w:t xml:space="preserve"> №</w:t>
      </w:r>
      <w:r w:rsidR="002B41AA">
        <w:rPr>
          <w:rFonts w:ascii="Times New Roman" w:eastAsia="Times New Roman" w:hAnsi="Times New Roman" w:cs="Times New Roman"/>
          <w:sz w:val="26"/>
          <w:szCs w:val="26"/>
        </w:rPr>
        <w:t xml:space="preserve"> </w:t>
      </w:r>
      <w:r w:rsidR="002B41AA">
        <w:rPr>
          <w:rFonts w:ascii="Times New Roman" w:eastAsia="Times New Roman" w:hAnsi="Times New Roman" w:cs="Times New Roman"/>
          <w:sz w:val="26"/>
          <w:szCs w:val="26"/>
          <w:u w:val="single"/>
        </w:rPr>
        <w:t>1068/дс-25</w:t>
      </w:r>
    </w:p>
    <w:p w:rsidR="007450B4" w:rsidRPr="002B41AA" w:rsidRDefault="007450B4" w:rsidP="00C55236">
      <w:pPr>
        <w:spacing w:after="0" w:line="240" w:lineRule="auto"/>
        <w:rPr>
          <w:rFonts w:ascii="Times New Roman" w:eastAsia="Times New Roman" w:hAnsi="Times New Roman" w:cs="Times New Roman"/>
          <w:sz w:val="26"/>
          <w:szCs w:val="26"/>
        </w:rPr>
      </w:pPr>
    </w:p>
    <w:p w:rsidR="00C55236" w:rsidRPr="002B41AA" w:rsidRDefault="00C55236" w:rsidP="00C55236">
      <w:pPr>
        <w:spacing w:after="0" w:line="240" w:lineRule="auto"/>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Вища кваліфікаційна комісія суддів України у пленарному складі:</w:t>
      </w:r>
    </w:p>
    <w:p w:rsidR="00C55236" w:rsidRPr="002B41AA" w:rsidRDefault="00C55236" w:rsidP="00C55236">
      <w:pPr>
        <w:spacing w:after="0" w:line="240" w:lineRule="auto"/>
        <w:jc w:val="both"/>
        <w:rPr>
          <w:rFonts w:ascii="Times New Roman" w:eastAsia="Times New Roman" w:hAnsi="Times New Roman" w:cs="Times New Roman"/>
          <w:sz w:val="26"/>
          <w:szCs w:val="26"/>
        </w:rPr>
      </w:pPr>
    </w:p>
    <w:p w:rsidR="005E7504" w:rsidRPr="002B41AA" w:rsidRDefault="005E7504" w:rsidP="005E7504">
      <w:pPr>
        <w:spacing w:after="0" w:line="240" w:lineRule="auto"/>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головуючого – Олексія ОМЕЛЬЯНА,</w:t>
      </w:r>
    </w:p>
    <w:p w:rsidR="005E7504" w:rsidRPr="002B41AA" w:rsidRDefault="005E7504" w:rsidP="005E7504">
      <w:pPr>
        <w:spacing w:after="0" w:line="240" w:lineRule="auto"/>
        <w:jc w:val="both"/>
        <w:rPr>
          <w:rFonts w:ascii="Times New Roman" w:eastAsia="Times New Roman" w:hAnsi="Times New Roman" w:cs="Times New Roman"/>
          <w:sz w:val="26"/>
          <w:szCs w:val="26"/>
        </w:rPr>
      </w:pPr>
    </w:p>
    <w:p w:rsidR="00C55236" w:rsidRPr="002B41AA" w:rsidRDefault="005E7504" w:rsidP="005E7504">
      <w:pPr>
        <w:spacing w:after="0" w:line="240" w:lineRule="auto"/>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членів Комісії: Михайла БОГОНОСА, Людмили ВОЛКОВОЇ, Віталія ГАЦЕЛЮКА, Ярослава ДУХА, Романа КИДИСЮКА, Надії КОБЕЦЬКОЇ, Олега КОЛІУША, Володимира ЛУГАНСЬКОГО, Руслана МЕЛЬНИКА, Руслана СИДОРОВИЧА (доповідач), Галини ШЕВЧУК</w:t>
      </w:r>
      <w:r w:rsidR="00C55236" w:rsidRPr="002B41AA">
        <w:rPr>
          <w:rFonts w:ascii="Times New Roman" w:eastAsia="Times New Roman" w:hAnsi="Times New Roman" w:cs="Times New Roman"/>
          <w:sz w:val="26"/>
          <w:szCs w:val="26"/>
        </w:rPr>
        <w:t>,</w:t>
      </w:r>
    </w:p>
    <w:p w:rsidR="00C55236" w:rsidRPr="002B41AA" w:rsidRDefault="00C55236" w:rsidP="00C55236">
      <w:pPr>
        <w:spacing w:after="0" w:line="240" w:lineRule="auto"/>
        <w:jc w:val="both"/>
        <w:rPr>
          <w:rFonts w:ascii="Times New Roman" w:eastAsia="Times New Roman" w:hAnsi="Times New Roman" w:cs="Times New Roman"/>
          <w:sz w:val="26"/>
          <w:szCs w:val="26"/>
        </w:rPr>
      </w:pPr>
    </w:p>
    <w:p w:rsidR="007450B4" w:rsidRPr="002B41AA" w:rsidRDefault="00C55236" w:rsidP="00C55236">
      <w:pPr>
        <w:spacing w:after="0" w:line="240" w:lineRule="auto"/>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розглянувши питання про перегляд рішення Вищої кваліфікаційної комісії суддів України від 26 травня 2025 року № 809/дс-25 про відмову Стойку Роману </w:t>
      </w:r>
      <w:proofErr w:type="spellStart"/>
      <w:r w:rsidRPr="002B41AA">
        <w:rPr>
          <w:rFonts w:ascii="Times New Roman" w:eastAsia="Times New Roman" w:hAnsi="Times New Roman" w:cs="Times New Roman"/>
          <w:sz w:val="26"/>
          <w:szCs w:val="26"/>
        </w:rPr>
        <w:t>Зеновійовичу</w:t>
      </w:r>
      <w:proofErr w:type="spellEnd"/>
      <w:r w:rsidRPr="002B41AA">
        <w:rPr>
          <w:rFonts w:ascii="Times New Roman" w:eastAsia="Times New Roman" w:hAnsi="Times New Roman" w:cs="Times New Roman"/>
          <w:sz w:val="26"/>
          <w:szCs w:val="26"/>
        </w:rPr>
        <w:t xml:space="preserve"> в допуску до участі в доборі на посаду судді місцевого суду, оголошеному рішенням Комісії від 11 грудня 2024 року № 366/зп-24,</w:t>
      </w:r>
    </w:p>
    <w:p w:rsidR="007450B4" w:rsidRPr="002B41AA" w:rsidRDefault="007450B4" w:rsidP="00C55236">
      <w:pPr>
        <w:spacing w:after="0" w:line="240" w:lineRule="auto"/>
        <w:ind w:firstLine="709"/>
        <w:jc w:val="both"/>
        <w:rPr>
          <w:rFonts w:ascii="Times New Roman" w:eastAsia="Times New Roman" w:hAnsi="Times New Roman" w:cs="Times New Roman"/>
          <w:sz w:val="26"/>
          <w:szCs w:val="26"/>
        </w:rPr>
      </w:pPr>
    </w:p>
    <w:p w:rsidR="007450B4" w:rsidRPr="002B41AA" w:rsidRDefault="007450B4" w:rsidP="00C55236">
      <w:pPr>
        <w:spacing w:after="0" w:line="240" w:lineRule="auto"/>
        <w:jc w:val="center"/>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встановила:</w:t>
      </w:r>
    </w:p>
    <w:p w:rsidR="007450B4" w:rsidRPr="002B41AA" w:rsidRDefault="007450B4" w:rsidP="00C55236">
      <w:pPr>
        <w:spacing w:after="0" w:line="240" w:lineRule="auto"/>
        <w:ind w:firstLine="567"/>
        <w:jc w:val="center"/>
        <w:rPr>
          <w:rFonts w:ascii="Times New Roman" w:eastAsia="Times New Roman" w:hAnsi="Times New Roman" w:cs="Times New Roman"/>
          <w:sz w:val="26"/>
          <w:szCs w:val="26"/>
        </w:rPr>
      </w:pPr>
    </w:p>
    <w:p w:rsidR="007450B4" w:rsidRPr="002B41AA" w:rsidRDefault="00C55236"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5236" w:rsidRPr="002B41AA" w:rsidRDefault="00C55236"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У визначений строк до Комісії із заявою про участь у Доборі звернувся Стойко Р.З.</w:t>
      </w:r>
    </w:p>
    <w:p w:rsidR="00C55236" w:rsidRPr="002B41AA" w:rsidRDefault="00C55236"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Комісією у складі колегії перевірено подані </w:t>
      </w:r>
      <w:proofErr w:type="spellStart"/>
      <w:r w:rsidRPr="002B41AA">
        <w:rPr>
          <w:rFonts w:ascii="Times New Roman" w:eastAsia="Times New Roman" w:hAnsi="Times New Roman" w:cs="Times New Roman"/>
          <w:sz w:val="26"/>
          <w:szCs w:val="26"/>
        </w:rPr>
        <w:t>Стойком</w:t>
      </w:r>
      <w:proofErr w:type="spellEnd"/>
      <w:r w:rsidRPr="002B41AA">
        <w:rPr>
          <w:rFonts w:ascii="Times New Roman" w:eastAsia="Times New Roman" w:hAnsi="Times New Roman" w:cs="Times New Roman"/>
          <w:sz w:val="26"/>
          <w:szCs w:val="26"/>
        </w:rPr>
        <w:t> Р.З.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w:t>
      </w:r>
      <w:r w:rsidR="00F11011" w:rsidRPr="002B41AA">
        <w:rPr>
          <w:rFonts w:ascii="Times New Roman" w:eastAsia="Times New Roman" w:hAnsi="Times New Roman" w:cs="Times New Roman"/>
          <w:sz w:val="26"/>
          <w:szCs w:val="26"/>
        </w:rPr>
        <w:t> </w:t>
      </w:r>
      <w:r w:rsidRPr="002B41AA">
        <w:rPr>
          <w:rFonts w:ascii="Times New Roman" w:eastAsia="Times New Roman" w:hAnsi="Times New Roman" w:cs="Times New Roman"/>
          <w:sz w:val="26"/>
          <w:szCs w:val="26"/>
        </w:rPr>
        <w:t>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C55236" w:rsidRPr="002B41AA" w:rsidRDefault="00C55236"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За результатами розгляду документів рішенням Комісії у складі колегії від</w:t>
      </w:r>
      <w:r w:rsidR="00F44241" w:rsidRPr="002B41AA">
        <w:rPr>
          <w:rFonts w:ascii="Times New Roman" w:eastAsia="Times New Roman" w:hAnsi="Times New Roman" w:cs="Times New Roman"/>
          <w:sz w:val="26"/>
          <w:szCs w:val="26"/>
        </w:rPr>
        <w:t> </w:t>
      </w:r>
      <w:r w:rsidRPr="002B41AA">
        <w:rPr>
          <w:rFonts w:ascii="Times New Roman" w:eastAsia="Times New Roman" w:hAnsi="Times New Roman" w:cs="Times New Roman"/>
          <w:sz w:val="26"/>
          <w:szCs w:val="26"/>
        </w:rPr>
        <w:t>26 травня 2025 року № 809/дс-25 відмов</w:t>
      </w:r>
      <w:r w:rsidR="00F44241" w:rsidRPr="002B41AA">
        <w:rPr>
          <w:rFonts w:ascii="Times New Roman" w:eastAsia="Times New Roman" w:hAnsi="Times New Roman" w:cs="Times New Roman"/>
          <w:sz w:val="26"/>
          <w:szCs w:val="26"/>
        </w:rPr>
        <w:t>лено</w:t>
      </w:r>
      <w:r w:rsidRPr="002B41AA">
        <w:rPr>
          <w:rFonts w:ascii="Times New Roman" w:eastAsia="Times New Roman" w:hAnsi="Times New Roman" w:cs="Times New Roman"/>
          <w:sz w:val="26"/>
          <w:szCs w:val="26"/>
        </w:rPr>
        <w:t xml:space="preserve"> Стойку Р.З. в допуску до участі в Доборі</w:t>
      </w:r>
      <w:r w:rsidR="00F44241" w:rsidRPr="002B41AA">
        <w:rPr>
          <w:rFonts w:ascii="Times New Roman" w:eastAsia="Times New Roman" w:hAnsi="Times New Roman" w:cs="Times New Roman"/>
          <w:sz w:val="26"/>
          <w:szCs w:val="26"/>
        </w:rPr>
        <w:t xml:space="preserve"> (далі – Рішення)</w:t>
      </w:r>
      <w:r w:rsidRPr="002B41AA">
        <w:rPr>
          <w:rFonts w:ascii="Times New Roman" w:eastAsia="Times New Roman" w:hAnsi="Times New Roman" w:cs="Times New Roman"/>
          <w:sz w:val="26"/>
          <w:szCs w:val="26"/>
        </w:rPr>
        <w:t>.</w:t>
      </w:r>
    </w:p>
    <w:p w:rsidR="00C55236" w:rsidRPr="002B41AA" w:rsidRDefault="00F44241"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Р</w:t>
      </w:r>
      <w:r w:rsidR="00C55236" w:rsidRPr="002B41AA">
        <w:rPr>
          <w:rFonts w:ascii="Times New Roman" w:eastAsia="Times New Roman" w:hAnsi="Times New Roman" w:cs="Times New Roman"/>
          <w:sz w:val="26"/>
          <w:szCs w:val="26"/>
        </w:rPr>
        <w:t>ішення мотивовано тим, що Стойко Р.З. у порушення пункту 10 ч</w:t>
      </w:r>
      <w:r w:rsidR="00914CFA" w:rsidRPr="002B41AA">
        <w:rPr>
          <w:rFonts w:ascii="Times New Roman" w:eastAsia="Times New Roman" w:hAnsi="Times New Roman" w:cs="Times New Roman"/>
          <w:sz w:val="26"/>
          <w:szCs w:val="26"/>
        </w:rPr>
        <w:t>астини першої статті 72 Закону, частини другої статті 57 Закону України «Про запобігання корупції», підпункту 13.12 пункту 13 Оголошення не подав письмової згоди на проведення спеціальної перевірки, що відповідно до частини третьої статті 73 Закону стало підставою для відмови в його допуску до участі в Доборі.</w:t>
      </w:r>
    </w:p>
    <w:p w:rsidR="00C55236" w:rsidRPr="002B41AA" w:rsidRDefault="00C55236"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lastRenderedPageBreak/>
        <w:t xml:space="preserve">До Комісії 04 червня 2025 року та 05 червня 2025 року надійшли дві заяви Стойка Р.З. про перегляд </w:t>
      </w:r>
      <w:r w:rsidR="00F44241" w:rsidRPr="002B41AA">
        <w:rPr>
          <w:rFonts w:ascii="Times New Roman" w:eastAsia="Times New Roman" w:hAnsi="Times New Roman" w:cs="Times New Roman"/>
          <w:sz w:val="26"/>
          <w:szCs w:val="26"/>
        </w:rPr>
        <w:t>Рішення</w:t>
      </w:r>
      <w:r w:rsidRPr="002B41AA">
        <w:rPr>
          <w:rFonts w:ascii="Times New Roman" w:eastAsia="Times New Roman" w:hAnsi="Times New Roman" w:cs="Times New Roman"/>
          <w:sz w:val="26"/>
          <w:szCs w:val="26"/>
        </w:rPr>
        <w:t>.</w:t>
      </w:r>
    </w:p>
    <w:p w:rsidR="00C55236" w:rsidRPr="002B41AA" w:rsidRDefault="00C55236"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У заявах Стойко Р.З. зазначає, що у зв’язку з технічними </w:t>
      </w:r>
      <w:proofErr w:type="spellStart"/>
      <w:r w:rsidRPr="002B41AA">
        <w:rPr>
          <w:rFonts w:ascii="Times New Roman" w:eastAsia="Times New Roman" w:hAnsi="Times New Roman" w:cs="Times New Roman"/>
          <w:sz w:val="26"/>
          <w:szCs w:val="26"/>
        </w:rPr>
        <w:t>збоями</w:t>
      </w:r>
      <w:proofErr w:type="spellEnd"/>
      <w:r w:rsidRPr="002B41AA">
        <w:rPr>
          <w:rFonts w:ascii="Times New Roman" w:eastAsia="Times New Roman" w:hAnsi="Times New Roman" w:cs="Times New Roman"/>
          <w:sz w:val="26"/>
          <w:szCs w:val="26"/>
        </w:rPr>
        <w:t xml:space="preserve"> в роботі сайту Комісії після підписання повного пакета документів за допомогою кваліфікаційного електронного підпису </w:t>
      </w:r>
      <w:r w:rsidR="00914CFA" w:rsidRPr="002B41AA">
        <w:rPr>
          <w:rFonts w:ascii="Times New Roman" w:eastAsia="Times New Roman" w:hAnsi="Times New Roman" w:cs="Times New Roman"/>
          <w:sz w:val="26"/>
          <w:szCs w:val="26"/>
        </w:rPr>
        <w:t>згода на проведення спеціальної перевірки була видален</w:t>
      </w:r>
      <w:r w:rsidR="00626D83" w:rsidRPr="002B41AA">
        <w:rPr>
          <w:rFonts w:ascii="Times New Roman" w:eastAsia="Times New Roman" w:hAnsi="Times New Roman" w:cs="Times New Roman"/>
          <w:sz w:val="26"/>
          <w:szCs w:val="26"/>
        </w:rPr>
        <w:t xml:space="preserve">а </w:t>
      </w:r>
      <w:r w:rsidR="00914CFA" w:rsidRPr="002B41AA">
        <w:rPr>
          <w:rFonts w:ascii="Times New Roman" w:eastAsia="Times New Roman" w:hAnsi="Times New Roman" w:cs="Times New Roman"/>
          <w:sz w:val="26"/>
          <w:szCs w:val="26"/>
        </w:rPr>
        <w:t>(втрачена) з кабінету суддівської кар’єри, а на її місце продубльовано (завантажено) інший документ – заяву про проведення перевірки, передбаченої Законом України «Про очищення влади» від 19 березня 2025 року. Стойко Р.З. у заявах наголошує, що ним подано повний пакет документів для участі в Доборі.</w:t>
      </w:r>
    </w:p>
    <w:p w:rsidR="00914CFA" w:rsidRPr="002B41AA" w:rsidRDefault="00914CFA" w:rsidP="00914CFA">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914CFA" w:rsidRPr="002B41AA" w:rsidRDefault="00F44241" w:rsidP="00914CFA">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А</w:t>
      </w:r>
      <w:r w:rsidR="00914CFA" w:rsidRPr="002B41AA">
        <w:rPr>
          <w:rFonts w:ascii="Times New Roman" w:eastAsia="Times New Roman" w:hAnsi="Times New Roman" w:cs="Times New Roman"/>
          <w:sz w:val="26"/>
          <w:szCs w:val="26"/>
        </w:rPr>
        <w:t>бзац</w:t>
      </w:r>
      <w:r w:rsidRPr="002B41AA">
        <w:rPr>
          <w:rFonts w:ascii="Times New Roman" w:eastAsia="Times New Roman" w:hAnsi="Times New Roman" w:cs="Times New Roman"/>
          <w:sz w:val="26"/>
          <w:szCs w:val="26"/>
        </w:rPr>
        <w:t>ом</w:t>
      </w:r>
      <w:r w:rsidR="00914CFA" w:rsidRPr="002B41AA">
        <w:rPr>
          <w:rFonts w:ascii="Times New Roman" w:eastAsia="Times New Roman" w:hAnsi="Times New Roman" w:cs="Times New Roman"/>
          <w:sz w:val="26"/>
          <w:szCs w:val="26"/>
        </w:rPr>
        <w:t xml:space="preserve"> друг</w:t>
      </w:r>
      <w:r w:rsidRPr="002B41AA">
        <w:rPr>
          <w:rFonts w:ascii="Times New Roman" w:eastAsia="Times New Roman" w:hAnsi="Times New Roman" w:cs="Times New Roman"/>
          <w:sz w:val="26"/>
          <w:szCs w:val="26"/>
        </w:rPr>
        <w:t>им</w:t>
      </w:r>
      <w:r w:rsidR="00914CFA" w:rsidRPr="002B41AA">
        <w:rPr>
          <w:rFonts w:ascii="Times New Roman" w:eastAsia="Times New Roman" w:hAnsi="Times New Roman" w:cs="Times New Roman"/>
          <w:sz w:val="26"/>
          <w:szCs w:val="26"/>
        </w:rPr>
        <w:t xml:space="preserve"> частини четвертої статті 101 Закону</w:t>
      </w:r>
      <w:r w:rsidRPr="002B41AA">
        <w:rPr>
          <w:rFonts w:ascii="Times New Roman" w:eastAsia="Times New Roman" w:hAnsi="Times New Roman" w:cs="Times New Roman"/>
          <w:sz w:val="26"/>
          <w:szCs w:val="26"/>
        </w:rPr>
        <w:t xml:space="preserve"> передбачено, що </w:t>
      </w:r>
      <w:r w:rsidR="00914CFA" w:rsidRPr="002B41AA">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w:t>
      </w:r>
    </w:p>
    <w:p w:rsidR="00914CFA" w:rsidRPr="002B41AA" w:rsidRDefault="00914CFA" w:rsidP="00914CFA">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w:t>
      </w:r>
      <w:r w:rsidR="00626D83" w:rsidRPr="002B41AA">
        <w:rPr>
          <w:rFonts w:ascii="Times New Roman" w:eastAsia="Times New Roman" w:hAnsi="Times New Roman" w:cs="Times New Roman"/>
          <w:sz w:val="26"/>
          <w:szCs w:val="26"/>
        </w:rPr>
        <w:t> </w:t>
      </w:r>
      <w:r w:rsidRPr="002B41AA">
        <w:rPr>
          <w:rFonts w:ascii="Times New Roman" w:eastAsia="Times New Roman" w:hAnsi="Times New Roman" w:cs="Times New Roman"/>
          <w:sz w:val="26"/>
          <w:szCs w:val="26"/>
        </w:rPr>
        <w:t>року № 81/зп-16 (у редакції рішення Комісії від 19 жовтня 2023 року № 119/зп-23 (з</w:t>
      </w:r>
      <w:r w:rsidR="00F44241" w:rsidRPr="002B41AA">
        <w:rPr>
          <w:rFonts w:ascii="Times New Roman" w:eastAsia="Times New Roman" w:hAnsi="Times New Roman" w:cs="Times New Roman"/>
          <w:sz w:val="26"/>
          <w:szCs w:val="26"/>
        </w:rPr>
        <w:t>і</w:t>
      </w:r>
      <w:r w:rsidRPr="002B41AA">
        <w:rPr>
          <w:rFonts w:ascii="Times New Roman" w:eastAsia="Times New Roman" w:hAnsi="Times New Roman" w:cs="Times New Roman"/>
          <w:sz w:val="26"/>
          <w:szCs w:val="26"/>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914CFA" w:rsidRPr="002B41AA" w:rsidRDefault="00914CFA" w:rsidP="00914CFA">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Перевіривши обставини, викладені в заяв</w:t>
      </w:r>
      <w:r w:rsidR="00F44241" w:rsidRPr="002B41AA">
        <w:rPr>
          <w:rFonts w:ascii="Times New Roman" w:eastAsia="Times New Roman" w:hAnsi="Times New Roman" w:cs="Times New Roman"/>
          <w:sz w:val="26"/>
          <w:szCs w:val="26"/>
        </w:rPr>
        <w:t>ах</w:t>
      </w:r>
      <w:r w:rsidRPr="002B41AA">
        <w:rPr>
          <w:rFonts w:ascii="Times New Roman" w:eastAsia="Times New Roman" w:hAnsi="Times New Roman" w:cs="Times New Roman"/>
          <w:sz w:val="26"/>
          <w:szCs w:val="26"/>
        </w:rPr>
        <w:t xml:space="preserve"> Стойка Р.З., заслухавши доповідача, Комісія встановила таке.</w:t>
      </w:r>
    </w:p>
    <w:p w:rsidR="00914CFA" w:rsidRPr="002B41AA" w:rsidRDefault="00914CFA" w:rsidP="00914CFA">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Рішенням Комісії від 11 грудня 2024 року № 366/зп-24</w:t>
      </w:r>
      <w:r w:rsidR="00F44241" w:rsidRPr="002B41AA">
        <w:rPr>
          <w:rFonts w:ascii="Times New Roman" w:eastAsia="Times New Roman" w:hAnsi="Times New Roman" w:cs="Times New Roman"/>
          <w:sz w:val="26"/>
          <w:szCs w:val="26"/>
        </w:rPr>
        <w:t xml:space="preserve"> затверджено текст Оголошення</w:t>
      </w:r>
      <w:r w:rsidRPr="002B41AA">
        <w:rPr>
          <w:rFonts w:ascii="Times New Roman" w:eastAsia="Times New Roman" w:hAnsi="Times New Roman" w:cs="Times New Roman"/>
          <w:sz w:val="26"/>
          <w:szCs w:val="26"/>
        </w:rPr>
        <w:t>, у якому визначено строк подання заяви, перелік необхідних документів для участі в Доборі, та вимоги до їх оформлення.</w:t>
      </w:r>
    </w:p>
    <w:p w:rsidR="00914CFA" w:rsidRPr="002B41AA" w:rsidRDefault="00914CFA" w:rsidP="00914CFA">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F44241" w:rsidRPr="002B41AA">
        <w:rPr>
          <w:rFonts w:ascii="Times New Roman" w:eastAsia="Times New Roman" w:hAnsi="Times New Roman" w:cs="Times New Roman"/>
          <w:sz w:val="26"/>
          <w:szCs w:val="26"/>
        </w:rPr>
        <w:t>в</w:t>
      </w:r>
      <w:r w:rsidRPr="002B41AA">
        <w:rPr>
          <w:rFonts w:ascii="Times New Roman" w:eastAsia="Times New Roman" w:hAnsi="Times New Roman" w:cs="Times New Roman"/>
          <w:sz w:val="26"/>
          <w:szCs w:val="26"/>
        </w:rPr>
        <w:t xml:space="preserve"> </w:t>
      </w:r>
      <w:r w:rsidR="00F44241" w:rsidRPr="002B41AA">
        <w:rPr>
          <w:rFonts w:ascii="Times New Roman" w:eastAsia="Times New Roman" w:hAnsi="Times New Roman" w:cs="Times New Roman"/>
          <w:sz w:val="26"/>
          <w:szCs w:val="26"/>
        </w:rPr>
        <w:t>Д</w:t>
      </w:r>
      <w:r w:rsidRPr="002B41AA">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F44241" w:rsidRPr="002B41AA">
        <w:rPr>
          <w:rFonts w:ascii="Times New Roman" w:eastAsia="Times New Roman" w:hAnsi="Times New Roman" w:cs="Times New Roman"/>
          <w:sz w:val="26"/>
          <w:szCs w:val="26"/>
        </w:rPr>
        <w:t>Д</w:t>
      </w:r>
      <w:r w:rsidRPr="002B41AA">
        <w:rPr>
          <w:rFonts w:ascii="Times New Roman" w:eastAsia="Times New Roman" w:hAnsi="Times New Roman" w:cs="Times New Roman"/>
          <w:sz w:val="26"/>
          <w:szCs w:val="26"/>
        </w:rPr>
        <w:t>оборі.</w:t>
      </w:r>
    </w:p>
    <w:p w:rsidR="00914CFA" w:rsidRPr="002B41AA" w:rsidRDefault="00914CFA" w:rsidP="00914CFA">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626D83" w:rsidRPr="002B41AA">
        <w:rPr>
          <w:rFonts w:ascii="Times New Roman" w:eastAsia="Times New Roman" w:hAnsi="Times New Roman" w:cs="Times New Roman"/>
          <w:sz w:val="26"/>
          <w:szCs w:val="26"/>
        </w:rPr>
        <w:t>О</w:t>
      </w:r>
      <w:r w:rsidRPr="002B41AA">
        <w:rPr>
          <w:rFonts w:ascii="Times New Roman" w:eastAsia="Times New Roman" w:hAnsi="Times New Roman" w:cs="Times New Roman"/>
          <w:sz w:val="26"/>
          <w:szCs w:val="26"/>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14CFA" w:rsidRPr="002B41AA" w:rsidRDefault="00914CFA" w:rsidP="00914CFA">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Пунктом 10 частини першої статті 72 Закону </w:t>
      </w:r>
      <w:r w:rsidR="00F44241" w:rsidRPr="002B41AA">
        <w:rPr>
          <w:rFonts w:ascii="Times New Roman" w:eastAsia="Times New Roman" w:hAnsi="Times New Roman" w:cs="Times New Roman"/>
          <w:sz w:val="26"/>
          <w:szCs w:val="26"/>
        </w:rPr>
        <w:t>передбачено</w:t>
      </w:r>
      <w:r w:rsidRPr="002B41AA">
        <w:rPr>
          <w:rFonts w:ascii="Times New Roman" w:eastAsia="Times New Roman" w:hAnsi="Times New Roman" w:cs="Times New Roman"/>
          <w:sz w:val="26"/>
          <w:szCs w:val="26"/>
        </w:rPr>
        <w:t>,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914CFA" w:rsidRPr="002B41AA" w:rsidRDefault="00914CFA"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Згідно з підпунктом 13.12 пункту 13 Оголошення для участі в Доборі необхідно подати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Вказана згода подається за формою, визначеною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2B41AA">
        <w:rPr>
          <w:rFonts w:ascii="Times New Roman" w:eastAsia="Times New Roman" w:hAnsi="Times New Roman" w:cs="Times New Roman"/>
          <w:sz w:val="26"/>
          <w:szCs w:val="26"/>
        </w:rPr>
        <w:lastRenderedPageBreak/>
        <w:t>затвердженим постановою Кабінету Міністрів України від 25</w:t>
      </w:r>
      <w:r w:rsidR="00F11011" w:rsidRPr="002B41AA">
        <w:rPr>
          <w:rFonts w:ascii="Times New Roman" w:eastAsia="Times New Roman" w:hAnsi="Times New Roman" w:cs="Times New Roman"/>
          <w:sz w:val="26"/>
          <w:szCs w:val="26"/>
        </w:rPr>
        <w:t> </w:t>
      </w:r>
      <w:r w:rsidRPr="002B41AA">
        <w:rPr>
          <w:rFonts w:ascii="Times New Roman" w:eastAsia="Times New Roman" w:hAnsi="Times New Roman" w:cs="Times New Roman"/>
          <w:sz w:val="26"/>
          <w:szCs w:val="26"/>
        </w:rPr>
        <w:t>березня 2015 року № 171 (в редакції постанови Кабінету Міністрів України від 27</w:t>
      </w:r>
      <w:r w:rsidR="00F11011" w:rsidRPr="002B41AA">
        <w:rPr>
          <w:rFonts w:ascii="Times New Roman" w:eastAsia="Times New Roman" w:hAnsi="Times New Roman" w:cs="Times New Roman"/>
          <w:sz w:val="26"/>
          <w:szCs w:val="26"/>
        </w:rPr>
        <w:t> </w:t>
      </w:r>
      <w:r w:rsidRPr="002B41AA">
        <w:rPr>
          <w:rFonts w:ascii="Times New Roman" w:eastAsia="Times New Roman" w:hAnsi="Times New Roman" w:cs="Times New Roman"/>
          <w:sz w:val="26"/>
          <w:szCs w:val="26"/>
        </w:rPr>
        <w:t>серпня 2022 року № 959).</w:t>
      </w:r>
    </w:p>
    <w:p w:rsidR="00C55236" w:rsidRPr="002B41AA" w:rsidRDefault="00C55236"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 </w:t>
      </w:r>
      <w:r w:rsidR="00914CFA" w:rsidRPr="002B41AA">
        <w:rPr>
          <w:rFonts w:ascii="Times New Roman" w:eastAsia="Times New Roman" w:hAnsi="Times New Roman" w:cs="Times New Roman"/>
          <w:sz w:val="26"/>
          <w:szCs w:val="26"/>
        </w:rPr>
        <w:t>Згідно з пунктом 3 Оголошення строк подання заяви та документів для участі у Доборі – з 01 березня 2025 року до 30 березня 2025 року (включно).</w:t>
      </w:r>
    </w:p>
    <w:p w:rsidR="00914CFA" w:rsidRPr="002B41AA" w:rsidRDefault="00914CFA"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2B41AA">
        <w:rPr>
          <w:rFonts w:ascii="Times New Roman" w:eastAsia="Times New Roman" w:hAnsi="Times New Roman" w:cs="Times New Roman"/>
          <w:sz w:val="26"/>
          <w:szCs w:val="26"/>
        </w:rPr>
        <w:t>вебсайт</w:t>
      </w:r>
      <w:proofErr w:type="spellEnd"/>
      <w:r w:rsidRPr="002B41AA">
        <w:rPr>
          <w:rFonts w:ascii="Times New Roman" w:eastAsia="Times New Roman" w:hAnsi="Times New Roman" w:cs="Times New Roman"/>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914CFA" w:rsidRPr="002B41AA" w:rsidRDefault="00914CFA"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З огляду на викладене Комісія зауважує, що подання усіх документів, передбачених спеціальним Законом та визначених в Оголошенні, у порядку та строки, встановлені рішенням Комісії від 11 грудня 2024 року № 366/зп-24 про оголошення Добору, є обов’язковим.</w:t>
      </w:r>
    </w:p>
    <w:p w:rsidR="00914CFA" w:rsidRPr="002B41AA" w:rsidRDefault="00914CFA"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Комісією встановлено, що в електронному кабінеті суддівської кар’єри </w:t>
      </w:r>
      <w:r w:rsidR="00626D83" w:rsidRPr="002B41AA">
        <w:rPr>
          <w:rFonts w:ascii="Times New Roman" w:eastAsia="Times New Roman" w:hAnsi="Times New Roman" w:cs="Times New Roman"/>
          <w:sz w:val="26"/>
          <w:szCs w:val="26"/>
        </w:rPr>
        <w:t>Стойка Р.З</w:t>
      </w:r>
      <w:r w:rsidR="00F44241" w:rsidRPr="002B41AA">
        <w:rPr>
          <w:rFonts w:ascii="Times New Roman" w:eastAsia="Times New Roman" w:hAnsi="Times New Roman" w:cs="Times New Roman"/>
          <w:sz w:val="26"/>
          <w:szCs w:val="26"/>
        </w:rPr>
        <w:t>.</w:t>
      </w:r>
      <w:r w:rsidR="00626D83" w:rsidRPr="002B41AA">
        <w:rPr>
          <w:rFonts w:ascii="Times New Roman" w:eastAsia="Times New Roman" w:hAnsi="Times New Roman" w:cs="Times New Roman"/>
          <w:sz w:val="26"/>
          <w:szCs w:val="26"/>
        </w:rPr>
        <w:t xml:space="preserve"> </w:t>
      </w:r>
      <w:r w:rsidR="00F44241" w:rsidRPr="002B41AA">
        <w:rPr>
          <w:rFonts w:ascii="Times New Roman" w:eastAsia="Times New Roman" w:hAnsi="Times New Roman" w:cs="Times New Roman"/>
          <w:sz w:val="26"/>
          <w:szCs w:val="26"/>
        </w:rPr>
        <w:t>у</w:t>
      </w:r>
      <w:r w:rsidRPr="002B41AA">
        <w:rPr>
          <w:rFonts w:ascii="Times New Roman" w:eastAsia="Times New Roman" w:hAnsi="Times New Roman" w:cs="Times New Roman"/>
          <w:sz w:val="26"/>
          <w:szCs w:val="26"/>
        </w:rPr>
        <w:t xml:space="preserve"> розділі «Документи» у вікні «</w:t>
      </w:r>
      <w:r w:rsidR="00F11011" w:rsidRPr="002B41AA">
        <w:rPr>
          <w:rFonts w:ascii="Times New Roman" w:eastAsia="Times New Roman" w:hAnsi="Times New Roman" w:cs="Times New Roman"/>
          <w:sz w:val="26"/>
          <w:szCs w:val="26"/>
        </w:rPr>
        <w:t>Згода на проведення спеціальної перевірки» відсутній необхідний документ. Натомість кандидатом подано заяву про проведення перевірки, передбаченої Законом України «Про очищення влади». Також згода на проведення спеціальної перевірки відсутня в інших вікнах, зокрема «Інші документи» та «Пакет підписаних документів».</w:t>
      </w:r>
    </w:p>
    <w:p w:rsidR="00914CFA" w:rsidRPr="002B41AA" w:rsidRDefault="00F11011"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F11011" w:rsidRPr="002B41AA" w:rsidRDefault="00F11011"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З огляду на викладене Комісія у складі колегії дійшла обґрунтовано</w:t>
      </w:r>
      <w:r w:rsidR="002E67FE" w:rsidRPr="002B41AA">
        <w:rPr>
          <w:rFonts w:ascii="Times New Roman" w:eastAsia="Times New Roman" w:hAnsi="Times New Roman" w:cs="Times New Roman"/>
          <w:sz w:val="26"/>
          <w:szCs w:val="26"/>
        </w:rPr>
        <w:t>го</w:t>
      </w:r>
      <w:r w:rsidRPr="002B41AA">
        <w:rPr>
          <w:rFonts w:ascii="Times New Roman" w:eastAsia="Times New Roman" w:hAnsi="Times New Roman" w:cs="Times New Roman"/>
          <w:sz w:val="26"/>
          <w:szCs w:val="26"/>
        </w:rPr>
        <w:t xml:space="preserve"> висновку, що </w:t>
      </w:r>
      <w:proofErr w:type="spellStart"/>
      <w:r w:rsidRPr="002B41AA">
        <w:rPr>
          <w:rFonts w:ascii="Times New Roman" w:eastAsia="Times New Roman" w:hAnsi="Times New Roman" w:cs="Times New Roman"/>
          <w:sz w:val="26"/>
          <w:szCs w:val="26"/>
        </w:rPr>
        <w:t>Стойком</w:t>
      </w:r>
      <w:proofErr w:type="spellEnd"/>
      <w:r w:rsidRPr="002B41AA">
        <w:rPr>
          <w:rFonts w:ascii="Times New Roman" w:eastAsia="Times New Roman" w:hAnsi="Times New Roman" w:cs="Times New Roman"/>
          <w:sz w:val="26"/>
          <w:szCs w:val="26"/>
        </w:rPr>
        <w:t xml:space="preserve"> Р.З. не подано до Комісії усіх необхідних документів, а саме письмової згоди на проведення спеціальної перевірки, що стало підставою для відмови в його допуску до участі в Доборі.</w:t>
      </w:r>
      <w:r w:rsidR="00FF40F3" w:rsidRPr="002B41AA">
        <w:rPr>
          <w:rFonts w:ascii="Times New Roman" w:eastAsia="Times New Roman" w:hAnsi="Times New Roman" w:cs="Times New Roman"/>
          <w:sz w:val="26"/>
          <w:szCs w:val="26"/>
        </w:rPr>
        <w:t xml:space="preserve"> Підстави, зазначені в заявах Стойка Р.З., не є поважними.</w:t>
      </w:r>
    </w:p>
    <w:p w:rsidR="00F11011" w:rsidRPr="002B41AA" w:rsidRDefault="00F11011"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 xml:space="preserve">Розглянувши доводи Стойка Р.З. щодо необхідності врахування поданої ним до заяви про перегляд Рішення згоди на проведення спеціальної перевірки, Комісія у пленарному складі виходить з того, що додаткове подання документів для участі у процедурі добору на посаду судді місцевого суду – не через кабінет суддівської кар’єри та поза межами строку, є порушенням умов подання документів, визначених рішенням Комісії від 11 грудня 2024 року № 366/зп-24, та не сприятиме легітимній меті встановлення однаково рівних умов для всіх учасників Добору. Тому, Комісія не бере до уваги подану </w:t>
      </w:r>
      <w:proofErr w:type="spellStart"/>
      <w:r w:rsidRPr="002B41AA">
        <w:rPr>
          <w:rFonts w:ascii="Times New Roman" w:eastAsia="Times New Roman" w:hAnsi="Times New Roman" w:cs="Times New Roman"/>
          <w:sz w:val="26"/>
          <w:szCs w:val="26"/>
        </w:rPr>
        <w:t>Стойком</w:t>
      </w:r>
      <w:proofErr w:type="spellEnd"/>
      <w:r w:rsidRPr="002B41AA">
        <w:rPr>
          <w:rFonts w:ascii="Times New Roman" w:eastAsia="Times New Roman" w:hAnsi="Times New Roman" w:cs="Times New Roman"/>
          <w:sz w:val="26"/>
          <w:szCs w:val="26"/>
        </w:rPr>
        <w:t xml:space="preserve"> Р.З. поза межами строку та процедури згоду на проведення спеціальної перевірки під час розгляду питання про перегляд Рішення.</w:t>
      </w:r>
    </w:p>
    <w:p w:rsidR="00914CFA" w:rsidRPr="002B41AA" w:rsidRDefault="00F11011"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Ураховуючи викладене, немає підстав вважати, що рішення Комісії у складі колегії від 26 травня 2025 року № 809/дс-25, яким відмовлено кандидату в допуску до участі в Доборі, ухвалено з порушенням вимог законодавства, а права Стойка Р.З. безпідставно порушено. Отже, у задоволенні заяв про перегляд рішення Комісії від</w:t>
      </w:r>
      <w:r w:rsidR="00F44241" w:rsidRPr="002B41AA">
        <w:rPr>
          <w:rFonts w:ascii="Times New Roman" w:eastAsia="Times New Roman" w:hAnsi="Times New Roman" w:cs="Times New Roman"/>
          <w:sz w:val="26"/>
          <w:szCs w:val="26"/>
        </w:rPr>
        <w:t> </w:t>
      </w:r>
      <w:r w:rsidRPr="002B41AA">
        <w:rPr>
          <w:rFonts w:ascii="Times New Roman" w:eastAsia="Times New Roman" w:hAnsi="Times New Roman" w:cs="Times New Roman"/>
          <w:sz w:val="26"/>
          <w:szCs w:val="26"/>
        </w:rPr>
        <w:t>26 травня 2025 року № 809/дс-25 про відмову в допуску до участі в доборі на посаду судді місцевого суду, оголошеному рішенням Комісії від 11 грудня 2024 року № 366/зп-24, слід відмовити.</w:t>
      </w:r>
    </w:p>
    <w:p w:rsidR="00C55236" w:rsidRPr="002B41AA" w:rsidRDefault="00F11011" w:rsidP="00C5523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C55236" w:rsidRPr="002B41AA" w:rsidRDefault="00C55236" w:rsidP="00C55236">
      <w:pPr>
        <w:spacing w:after="0" w:line="240" w:lineRule="auto"/>
        <w:ind w:firstLine="709"/>
        <w:jc w:val="both"/>
        <w:rPr>
          <w:rFonts w:ascii="Times New Roman" w:eastAsia="Times New Roman" w:hAnsi="Times New Roman" w:cs="Times New Roman"/>
          <w:sz w:val="26"/>
          <w:szCs w:val="26"/>
        </w:rPr>
      </w:pPr>
    </w:p>
    <w:p w:rsidR="007450B4" w:rsidRPr="002B41AA" w:rsidRDefault="007450B4" w:rsidP="00C55236">
      <w:pPr>
        <w:spacing w:after="0" w:line="240" w:lineRule="auto"/>
        <w:jc w:val="center"/>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t>вирішила:</w:t>
      </w:r>
    </w:p>
    <w:p w:rsidR="007450B4" w:rsidRPr="002B41AA" w:rsidRDefault="007450B4" w:rsidP="00C55236">
      <w:pPr>
        <w:spacing w:after="0" w:line="240" w:lineRule="auto"/>
        <w:ind w:firstLine="709"/>
        <w:jc w:val="both"/>
        <w:rPr>
          <w:rFonts w:ascii="Times New Roman" w:eastAsia="Times New Roman" w:hAnsi="Times New Roman" w:cs="Times New Roman"/>
          <w:sz w:val="26"/>
          <w:szCs w:val="26"/>
        </w:rPr>
      </w:pPr>
    </w:p>
    <w:p w:rsidR="007450B4" w:rsidRPr="002B41AA" w:rsidRDefault="005E7504" w:rsidP="00F55446">
      <w:pPr>
        <w:spacing w:after="0" w:line="240" w:lineRule="auto"/>
        <w:ind w:firstLine="709"/>
        <w:jc w:val="both"/>
        <w:rPr>
          <w:rFonts w:ascii="Times New Roman" w:eastAsia="Times New Roman" w:hAnsi="Times New Roman" w:cs="Times New Roman"/>
          <w:sz w:val="26"/>
          <w:szCs w:val="26"/>
        </w:rPr>
      </w:pPr>
      <w:r w:rsidRPr="002B41AA">
        <w:rPr>
          <w:rFonts w:ascii="Times New Roman" w:eastAsia="Times New Roman" w:hAnsi="Times New Roman" w:cs="Times New Roman"/>
          <w:sz w:val="26"/>
          <w:szCs w:val="26"/>
        </w:rPr>
        <w:lastRenderedPageBreak/>
        <w:t xml:space="preserve">відмовити Стойку Роману </w:t>
      </w:r>
      <w:proofErr w:type="spellStart"/>
      <w:r w:rsidRPr="002B41AA">
        <w:rPr>
          <w:rFonts w:ascii="Times New Roman" w:eastAsia="Times New Roman" w:hAnsi="Times New Roman" w:cs="Times New Roman"/>
          <w:sz w:val="26"/>
          <w:szCs w:val="26"/>
        </w:rPr>
        <w:t>Зеновійовичу</w:t>
      </w:r>
      <w:proofErr w:type="spellEnd"/>
      <w:r w:rsidRPr="002B41AA">
        <w:rPr>
          <w:rFonts w:ascii="Times New Roman" w:eastAsia="Times New Roman" w:hAnsi="Times New Roman" w:cs="Times New Roman"/>
          <w:sz w:val="26"/>
          <w:szCs w:val="26"/>
        </w:rPr>
        <w:t xml:space="preserve"> в задоволенні заяви про перегляд рішення Вищої кваліфікаційної комісії суддів України від 26 травня 2025 року № 809/дс-25 про відмову в допуску до участі в доборі на посаду судді місцевого суду, оголошеному рішенням </w:t>
      </w:r>
      <w:r w:rsidR="007E169B" w:rsidRPr="002B41AA">
        <w:rPr>
          <w:rFonts w:ascii="Times New Roman" w:eastAsia="Times New Roman" w:hAnsi="Times New Roman" w:cs="Times New Roman"/>
          <w:sz w:val="26"/>
          <w:szCs w:val="26"/>
        </w:rPr>
        <w:t xml:space="preserve">Вищої кваліфікаційної комісії суддів України </w:t>
      </w:r>
      <w:r w:rsidRPr="002B41AA">
        <w:rPr>
          <w:rFonts w:ascii="Times New Roman" w:eastAsia="Times New Roman" w:hAnsi="Times New Roman" w:cs="Times New Roman"/>
          <w:sz w:val="26"/>
          <w:szCs w:val="26"/>
        </w:rPr>
        <w:t>від 11 грудня 2024 року № 366/зп-24</w:t>
      </w:r>
      <w:r w:rsidR="007450B4" w:rsidRPr="002B41AA">
        <w:rPr>
          <w:rFonts w:ascii="Times New Roman" w:eastAsia="Times New Roman" w:hAnsi="Times New Roman" w:cs="Times New Roman"/>
          <w:sz w:val="26"/>
          <w:szCs w:val="26"/>
        </w:rPr>
        <w:t>.</w:t>
      </w:r>
    </w:p>
    <w:p w:rsidR="007450B4" w:rsidRPr="002B41AA" w:rsidRDefault="007450B4" w:rsidP="00C55236">
      <w:pPr>
        <w:spacing w:after="0" w:line="240" w:lineRule="auto"/>
        <w:jc w:val="both"/>
        <w:rPr>
          <w:rFonts w:ascii="Times New Roman" w:eastAsia="Times New Roman" w:hAnsi="Times New Roman" w:cs="Times New Roman"/>
          <w:sz w:val="25"/>
          <w:szCs w:val="25"/>
        </w:rPr>
      </w:pPr>
    </w:p>
    <w:p w:rsidR="006744B5" w:rsidRPr="002B41AA" w:rsidRDefault="006744B5" w:rsidP="00C55236">
      <w:pPr>
        <w:spacing w:after="0" w:line="240" w:lineRule="auto"/>
        <w:jc w:val="both"/>
        <w:rPr>
          <w:rFonts w:ascii="Times New Roman" w:eastAsia="Times New Roman" w:hAnsi="Times New Roman" w:cs="Times New Roman"/>
          <w:sz w:val="25"/>
          <w:szCs w:val="25"/>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61E3A" w:rsidRPr="002B41AA" w:rsidTr="00176015">
        <w:tc>
          <w:tcPr>
            <w:tcW w:w="4814" w:type="dxa"/>
          </w:tcPr>
          <w:p w:rsidR="00361E3A" w:rsidRPr="002B41AA" w:rsidRDefault="00361E3A" w:rsidP="006744B5">
            <w:pPr>
              <w:spacing w:after="240"/>
              <w:ind w:left="-107"/>
              <w:jc w:val="both"/>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Головуючий</w:t>
            </w: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w:t>
            </w:r>
            <w:r w:rsidR="005E7504" w:rsidRPr="002B41AA">
              <w:rPr>
                <w:rFonts w:ascii="Times New Roman" w:eastAsia="Times New Roman" w:hAnsi="Times New Roman" w:cs="Times New Roman"/>
                <w:color w:val="000000"/>
                <w:sz w:val="26"/>
                <w:szCs w:val="26"/>
              </w:rPr>
              <w:t>Олексій ОМЕЛЬЯН</w:t>
            </w:r>
          </w:p>
        </w:tc>
      </w:tr>
      <w:tr w:rsidR="00361E3A" w:rsidRPr="002B41AA" w:rsidTr="00176015">
        <w:tc>
          <w:tcPr>
            <w:tcW w:w="4814" w:type="dxa"/>
          </w:tcPr>
          <w:p w:rsidR="00361E3A" w:rsidRPr="002B41AA" w:rsidRDefault="00361E3A" w:rsidP="006744B5">
            <w:pPr>
              <w:spacing w:after="240"/>
              <w:ind w:left="-107"/>
              <w:jc w:val="both"/>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Члени Комісії</w:t>
            </w: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Михайло БОГОНІС</w:t>
            </w:r>
          </w:p>
        </w:tc>
      </w:tr>
      <w:tr w:rsidR="00361E3A" w:rsidRPr="002B41AA" w:rsidTr="00176015">
        <w:tc>
          <w:tcPr>
            <w:tcW w:w="4814" w:type="dxa"/>
          </w:tcPr>
          <w:p w:rsidR="00361E3A" w:rsidRPr="002B41A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Людмила ВОЛКОВА</w:t>
            </w:r>
          </w:p>
        </w:tc>
      </w:tr>
      <w:tr w:rsidR="00361E3A" w:rsidRPr="002B41AA" w:rsidTr="00176015">
        <w:tc>
          <w:tcPr>
            <w:tcW w:w="4814" w:type="dxa"/>
          </w:tcPr>
          <w:p w:rsidR="00361E3A" w:rsidRPr="002B41A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Віталій ГАЦЕЛЮК</w:t>
            </w:r>
          </w:p>
        </w:tc>
      </w:tr>
      <w:tr w:rsidR="00361E3A" w:rsidRPr="002B41AA" w:rsidTr="00176015">
        <w:tc>
          <w:tcPr>
            <w:tcW w:w="4814" w:type="dxa"/>
          </w:tcPr>
          <w:p w:rsidR="00361E3A" w:rsidRPr="002B41A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Ярослав ДУХ</w:t>
            </w:r>
          </w:p>
        </w:tc>
      </w:tr>
      <w:tr w:rsidR="00361E3A" w:rsidRPr="002B41AA" w:rsidTr="00176015">
        <w:tc>
          <w:tcPr>
            <w:tcW w:w="4814" w:type="dxa"/>
          </w:tcPr>
          <w:p w:rsidR="00361E3A" w:rsidRPr="002B41A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Роман КИДИСЮК</w:t>
            </w:r>
          </w:p>
        </w:tc>
      </w:tr>
      <w:tr w:rsidR="00361E3A" w:rsidRPr="002B41AA" w:rsidTr="00176015">
        <w:tc>
          <w:tcPr>
            <w:tcW w:w="4814" w:type="dxa"/>
          </w:tcPr>
          <w:p w:rsidR="00361E3A" w:rsidRPr="002B41A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Надія КОБЕЦЬКА</w:t>
            </w:r>
          </w:p>
        </w:tc>
      </w:tr>
      <w:tr w:rsidR="00361E3A" w:rsidRPr="002B41AA" w:rsidTr="00176015">
        <w:tc>
          <w:tcPr>
            <w:tcW w:w="4814" w:type="dxa"/>
          </w:tcPr>
          <w:p w:rsidR="00361E3A" w:rsidRPr="002B41A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Олег КОЛІУШ</w:t>
            </w:r>
          </w:p>
        </w:tc>
      </w:tr>
      <w:tr w:rsidR="00361E3A" w:rsidRPr="002B41AA" w:rsidTr="00176015">
        <w:tc>
          <w:tcPr>
            <w:tcW w:w="4814" w:type="dxa"/>
          </w:tcPr>
          <w:p w:rsidR="00361E3A" w:rsidRPr="002B41A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Володимир ЛУГАНСЬКИЙ</w:t>
            </w:r>
          </w:p>
        </w:tc>
      </w:tr>
      <w:tr w:rsidR="00361E3A" w:rsidRPr="002B41AA" w:rsidTr="00176015">
        <w:tc>
          <w:tcPr>
            <w:tcW w:w="4814" w:type="dxa"/>
          </w:tcPr>
          <w:p w:rsidR="00361E3A" w:rsidRPr="002B41A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Руслан МЕЛЬНИК</w:t>
            </w:r>
          </w:p>
        </w:tc>
      </w:tr>
      <w:tr w:rsidR="00361E3A" w:rsidRPr="002B41AA" w:rsidTr="00176015">
        <w:tc>
          <w:tcPr>
            <w:tcW w:w="4814" w:type="dxa"/>
          </w:tcPr>
          <w:p w:rsidR="00361E3A" w:rsidRPr="002B41A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Руслан СИДОРОВИЧ</w:t>
            </w:r>
          </w:p>
        </w:tc>
      </w:tr>
      <w:tr w:rsidR="00361E3A" w:rsidRPr="002B41AA" w:rsidTr="00176015">
        <w:tc>
          <w:tcPr>
            <w:tcW w:w="4814" w:type="dxa"/>
          </w:tcPr>
          <w:p w:rsidR="00361E3A" w:rsidRPr="002B41AA"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2B41AA" w:rsidRDefault="00361E3A" w:rsidP="005E7504">
            <w:pPr>
              <w:spacing w:after="240"/>
              <w:ind w:left="1317"/>
              <w:rPr>
                <w:rFonts w:ascii="Times New Roman" w:eastAsia="Times New Roman" w:hAnsi="Times New Roman" w:cs="Times New Roman"/>
                <w:color w:val="000000"/>
                <w:sz w:val="26"/>
                <w:szCs w:val="26"/>
              </w:rPr>
            </w:pPr>
            <w:r w:rsidRPr="002B41AA">
              <w:rPr>
                <w:rFonts w:ascii="Times New Roman" w:eastAsia="Times New Roman" w:hAnsi="Times New Roman" w:cs="Times New Roman"/>
                <w:color w:val="000000"/>
                <w:sz w:val="26"/>
                <w:szCs w:val="26"/>
              </w:rPr>
              <w:t xml:space="preserve"> Галина ШЕВЧУК</w:t>
            </w:r>
          </w:p>
        </w:tc>
      </w:tr>
    </w:tbl>
    <w:p w:rsidR="00887E75" w:rsidRPr="002B41AA" w:rsidRDefault="002B41AA" w:rsidP="002B41AA">
      <w:pPr>
        <w:spacing w:after="0" w:line="240" w:lineRule="auto"/>
        <w:rPr>
          <w:rFonts w:ascii="Times New Roman" w:hAnsi="Times New Roman" w:cs="Times New Roman"/>
        </w:rPr>
      </w:pPr>
      <w:bookmarkStart w:id="0" w:name="_GoBack"/>
      <w:bookmarkEnd w:id="0"/>
    </w:p>
    <w:sectPr w:rsidR="00887E75" w:rsidRPr="002B41AA" w:rsidSect="00284A1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E12" w:rsidRDefault="005C2E12" w:rsidP="007450B4">
      <w:pPr>
        <w:spacing w:after="0" w:line="240" w:lineRule="auto"/>
      </w:pPr>
      <w:r>
        <w:separator/>
      </w:r>
    </w:p>
  </w:endnote>
  <w:endnote w:type="continuationSeparator" w:id="0">
    <w:p w:rsidR="005C2E12" w:rsidRDefault="005C2E12"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E12" w:rsidRDefault="005C2E12" w:rsidP="007450B4">
      <w:pPr>
        <w:spacing w:after="0" w:line="240" w:lineRule="auto"/>
      </w:pPr>
      <w:r>
        <w:separator/>
      </w:r>
    </w:p>
  </w:footnote>
  <w:footnote w:type="continuationSeparator" w:id="0">
    <w:p w:rsidR="005C2E12" w:rsidRDefault="005C2E12"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rsidR="007450B4" w:rsidRDefault="007450B4">
        <w:pPr>
          <w:pStyle w:val="a7"/>
          <w:jc w:val="center"/>
        </w:pPr>
        <w:r>
          <w:fldChar w:fldCharType="begin"/>
        </w:r>
        <w:r>
          <w:instrText>PAGE   \* MERGEFORMAT</w:instrText>
        </w:r>
        <w:r>
          <w:fldChar w:fldCharType="separate"/>
        </w:r>
        <w:r w:rsidR="00510868" w:rsidRPr="00510868">
          <w:rPr>
            <w:noProof/>
            <w:lang w:val="ru-RU"/>
          </w:rPr>
          <w:t>3</w:t>
        </w:r>
        <w:r>
          <w:fldChar w:fldCharType="end"/>
        </w:r>
      </w:p>
    </w:sdtContent>
  </w:sdt>
  <w:p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A3866"/>
    <w:rsid w:val="00120611"/>
    <w:rsid w:val="0018231D"/>
    <w:rsid w:val="001A41C1"/>
    <w:rsid w:val="002578EE"/>
    <w:rsid w:val="00284A1D"/>
    <w:rsid w:val="00285B17"/>
    <w:rsid w:val="002B41AA"/>
    <w:rsid w:val="002E67FE"/>
    <w:rsid w:val="00361E3A"/>
    <w:rsid w:val="00395753"/>
    <w:rsid w:val="004067BC"/>
    <w:rsid w:val="004A1EE8"/>
    <w:rsid w:val="004E6A09"/>
    <w:rsid w:val="00510868"/>
    <w:rsid w:val="00550A8C"/>
    <w:rsid w:val="005C2E12"/>
    <w:rsid w:val="005E7504"/>
    <w:rsid w:val="00626D83"/>
    <w:rsid w:val="006744B5"/>
    <w:rsid w:val="006F37B7"/>
    <w:rsid w:val="007227C6"/>
    <w:rsid w:val="007450B4"/>
    <w:rsid w:val="00777AF9"/>
    <w:rsid w:val="007E169B"/>
    <w:rsid w:val="008378F3"/>
    <w:rsid w:val="00880942"/>
    <w:rsid w:val="008A3F9C"/>
    <w:rsid w:val="008C4FA3"/>
    <w:rsid w:val="008D7551"/>
    <w:rsid w:val="00914CFA"/>
    <w:rsid w:val="00966022"/>
    <w:rsid w:val="009A3115"/>
    <w:rsid w:val="009F3D30"/>
    <w:rsid w:val="009F4384"/>
    <w:rsid w:val="00A06E11"/>
    <w:rsid w:val="00A669CF"/>
    <w:rsid w:val="00AC7F78"/>
    <w:rsid w:val="00B828FB"/>
    <w:rsid w:val="00BD309E"/>
    <w:rsid w:val="00C173CC"/>
    <w:rsid w:val="00C55236"/>
    <w:rsid w:val="00C64A6E"/>
    <w:rsid w:val="00DB5613"/>
    <w:rsid w:val="00DD5C8C"/>
    <w:rsid w:val="00E846A0"/>
    <w:rsid w:val="00F11011"/>
    <w:rsid w:val="00F30EDE"/>
    <w:rsid w:val="00F44241"/>
    <w:rsid w:val="00F54D3F"/>
    <w:rsid w:val="00F55446"/>
    <w:rsid w:val="00FF40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14CA"/>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 w:type="table" w:styleId="ab">
    <w:name w:val="Table Grid"/>
    <w:basedOn w:val="a1"/>
    <w:uiPriority w:val="39"/>
    <w:rsid w:val="0036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6034</Words>
  <Characters>3440</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dcterms:created xsi:type="dcterms:W3CDTF">2025-07-01T10:29:00Z</dcterms:created>
  <dcterms:modified xsi:type="dcterms:W3CDTF">2025-07-01T10:29:00Z</dcterms:modified>
</cp:coreProperties>
</file>