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F2" w:rsidRDefault="00230DF1" w:rsidP="001344F2">
      <w:pPr>
        <w:pStyle w:val="a3"/>
        <w:pBdr>
          <w:bottom w:val="single" w:sz="12" w:space="1" w:color="auto"/>
        </w:pBdr>
        <w:rPr>
          <w:position w:val="-2"/>
        </w:rPr>
      </w:pPr>
      <w:r w:rsidRPr="00230DF1">
        <w:rPr>
          <w:rFonts w:eastAsia="Calibri" w:cs="Arial"/>
          <w:b/>
          <w:bCs/>
          <w:noProof/>
          <w:sz w:val="28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FE8E8" wp14:editId="57F7145A">
                <wp:simplePos x="0" y="0"/>
                <wp:positionH relativeFrom="column">
                  <wp:posOffset>-381635</wp:posOffset>
                </wp:positionH>
                <wp:positionV relativeFrom="paragraph">
                  <wp:posOffset>-571500</wp:posOffset>
                </wp:positionV>
                <wp:extent cx="2374265" cy="1403985"/>
                <wp:effectExtent l="0" t="0" r="635" b="1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DF1" w:rsidRPr="007B6DAA" w:rsidRDefault="00230DF1" w:rsidP="00230DF1">
                            <w:pPr>
                              <w:rPr>
                                <w:i/>
                                <w:sz w:val="22"/>
                                <w:lang w:val="ru-RU"/>
                              </w:rPr>
                            </w:pPr>
                            <w:proofErr w:type="spellStart"/>
                            <w:r w:rsidRPr="007B6DAA">
                              <w:rPr>
                                <w:i/>
                                <w:sz w:val="22"/>
                                <w:lang w:val="ru-RU"/>
                              </w:rPr>
                              <w:t>Неофіційний</w:t>
                            </w:r>
                            <w:proofErr w:type="spellEnd"/>
                            <w:r w:rsidRPr="007B6DAA">
                              <w:rPr>
                                <w:i/>
                                <w:sz w:val="22"/>
                                <w:lang w:val="ru-RU"/>
                              </w:rPr>
                              <w:t xml:space="preserve"> переклад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0.05pt;margin-top:-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" stroked="f">
                <v:textbox style="mso-fit-shape-to-text:t">
                  <w:txbxContent>
                    <w:p w:rsidR="00230DF1" w:rsidRPr="007B6DAA" w:rsidRDefault="00230DF1" w:rsidP="00230DF1">
                      <w:pPr>
                        <w:rPr>
                          <w:i/>
                          <w:sz w:val="22"/>
                          <w:lang w:val="ru-RU"/>
                        </w:rPr>
                      </w:pPr>
                      <w:proofErr w:type="spellStart"/>
                      <w:r w:rsidRPr="007B6DAA">
                        <w:rPr>
                          <w:i/>
                          <w:sz w:val="22"/>
                          <w:lang w:val="ru-RU"/>
                        </w:rPr>
                        <w:t>Неофіційний</w:t>
                      </w:r>
                      <w:proofErr w:type="spellEnd"/>
                      <w:r w:rsidRPr="007B6DAA">
                        <w:rPr>
                          <w:i/>
                          <w:sz w:val="22"/>
                          <w:lang w:val="ru-RU"/>
                        </w:rPr>
                        <w:t xml:space="preserve"> переклад</w:t>
                      </w:r>
                    </w:p>
                  </w:txbxContent>
                </v:textbox>
              </v:shape>
            </w:pict>
          </mc:Fallback>
        </mc:AlternateContent>
      </w:r>
      <w:r w:rsidR="001344F2" w:rsidRPr="001344F2">
        <w:rPr>
          <w:b/>
          <w:bCs/>
          <w:noProof/>
          <w:szCs w:val="18"/>
          <w:lang w:eastAsia="uk-UA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-826770</wp:posOffset>
            </wp:positionV>
            <wp:extent cx="3039137" cy="1089329"/>
            <wp:effectExtent l="0" t="0" r="0" b="3175"/>
            <wp:wrapNone/>
            <wp:docPr id="193529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99985" name="Picture 19352999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137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4F2">
        <w:rPr>
          <w:szCs w:val="18"/>
        </w:rPr>
        <w:br/>
      </w:r>
      <w:r w:rsidR="001344F2">
        <w:rPr>
          <w:szCs w:val="18"/>
        </w:rPr>
        <w:br/>
      </w:r>
      <w:r w:rsidR="001344F2" w:rsidRPr="001344F2">
        <w:rPr>
          <w:b/>
          <w:bCs/>
          <w:szCs w:val="18"/>
        </w:rPr>
        <w:t>ЗАСТУПНИКИ МІНІСТРІВ</w:t>
      </w:r>
      <w:r w:rsidR="001344F2" w:rsidRPr="001344F2">
        <w:rPr>
          <w:szCs w:val="18"/>
        </w:rPr>
        <w:t xml:space="preserve">       Декларації </w:t>
      </w:r>
      <w:r w:rsidR="001344F2">
        <w:rPr>
          <w:szCs w:val="18"/>
        </w:rPr>
        <w:t xml:space="preserve"> </w:t>
      </w:r>
      <w:proofErr w:type="spellStart"/>
      <w:r w:rsidR="001344F2" w:rsidRPr="001344F2">
        <w:rPr>
          <w:b/>
          <w:bCs/>
          <w:position w:val="-2"/>
        </w:rPr>
        <w:t>Decl</w:t>
      </w:r>
      <w:proofErr w:type="spellEnd"/>
      <w:r w:rsidR="001344F2" w:rsidRPr="001344F2">
        <w:rPr>
          <w:b/>
          <w:bCs/>
          <w:position w:val="-2"/>
        </w:rPr>
        <w:t>(30/03/2022)</w:t>
      </w:r>
      <w:r w:rsidR="001344F2" w:rsidRPr="001344F2">
        <w:rPr>
          <w:position w:val="-2"/>
        </w:rPr>
        <w:t xml:space="preserve">        30 березня 2022 року</w:t>
      </w:r>
    </w:p>
    <w:p w:rsidR="001344F2" w:rsidRPr="00DF54F5" w:rsidRDefault="001344F2" w:rsidP="00981201">
      <w:pPr>
        <w:pStyle w:val="a3"/>
        <w:rPr>
          <w:b/>
          <w:sz w:val="23"/>
          <w:szCs w:val="23"/>
        </w:rPr>
      </w:pPr>
      <w:r w:rsidRPr="00DF54F5">
        <w:rPr>
          <w:b/>
          <w:sz w:val="23"/>
          <w:szCs w:val="23"/>
        </w:rPr>
        <w:t xml:space="preserve">Декларація Комітету міністрів про необхідність </w:t>
      </w:r>
      <w:r w:rsidR="00312860" w:rsidRPr="00DF54F5">
        <w:rPr>
          <w:b/>
          <w:sz w:val="23"/>
          <w:szCs w:val="23"/>
        </w:rPr>
        <w:t>вдосконалення</w:t>
      </w:r>
      <w:r w:rsidRPr="00DF54F5">
        <w:rPr>
          <w:b/>
          <w:sz w:val="23"/>
          <w:szCs w:val="23"/>
        </w:rPr>
        <w:t xml:space="preserve"> роботи Ради Європи у сфері кримінального правосуддя з </w:t>
      </w:r>
      <w:r w:rsidR="00454E8B">
        <w:rPr>
          <w:b/>
          <w:sz w:val="23"/>
          <w:szCs w:val="23"/>
          <w:lang w:val="ru-RU"/>
        </w:rPr>
        <w:t>акцентом на</w:t>
      </w:r>
      <w:r w:rsidR="00454E8B">
        <w:rPr>
          <w:b/>
          <w:sz w:val="23"/>
          <w:szCs w:val="23"/>
        </w:rPr>
        <w:t xml:space="preserve"> процесуальні права, передбачені</w:t>
      </w:r>
      <w:r w:rsidRPr="00DF54F5">
        <w:rPr>
          <w:b/>
          <w:sz w:val="23"/>
          <w:szCs w:val="23"/>
        </w:rPr>
        <w:t xml:space="preserve"> статтями 5 і 6</w:t>
      </w:r>
    </w:p>
    <w:p w:rsidR="001344F2" w:rsidRPr="00981201" w:rsidRDefault="00981201" w:rsidP="00981201">
      <w:pPr>
        <w:pStyle w:val="a3"/>
        <w:rPr>
          <w:i/>
          <w:iCs/>
        </w:rPr>
      </w:pPr>
      <w:r w:rsidRPr="00981201">
        <w:rPr>
          <w:i/>
          <w:iCs/>
        </w:rPr>
        <w:t>(</w:t>
      </w:r>
      <w:r w:rsidR="001344F2" w:rsidRPr="00981201">
        <w:rPr>
          <w:i/>
          <w:iCs/>
        </w:rPr>
        <w:t>Текст прийнятий Комітетом міністрів 30 березня 2022 року на 1430 засіданні заступників міністрів</w:t>
      </w:r>
      <w:r w:rsidRPr="00981201">
        <w:rPr>
          <w:i/>
          <w:iCs/>
        </w:rPr>
        <w:t>)</w:t>
      </w:r>
    </w:p>
    <w:p w:rsidR="001344F2" w:rsidRPr="001344F2" w:rsidRDefault="001344F2" w:rsidP="001344F2">
      <w:pPr>
        <w:pStyle w:val="a3"/>
        <w:jc w:val="both"/>
      </w:pPr>
      <w:r w:rsidRPr="001344F2">
        <w:t>Комітет міністрів Ради Європи,</w:t>
      </w:r>
    </w:p>
    <w:p w:rsidR="001344F2" w:rsidRPr="001344F2" w:rsidRDefault="001344F2" w:rsidP="001344F2">
      <w:pPr>
        <w:pStyle w:val="a3"/>
        <w:jc w:val="both"/>
      </w:pPr>
      <w:r w:rsidRPr="001344F2">
        <w:t>1. посилаючись на зобов’язання держав-членів забезпечити кожному, хто перебуває під їхньою юрисдикцією, права і свободи, визначені Конвенцією про захист прав людини і основоположних свобод (Європейська конвенція з прав людини, ETS № 5), та забезпечити ефективний засіб правового захисту в національних органах у разі порушення цих прав і свобод, а також про їхні зобов'язання, у відповідних випадках, згідно з конвенціями Ради Європи, що мають відношення до Європейського комітету з проблем злочинності (</w:t>
      </w:r>
      <w:r w:rsidR="00021123" w:rsidRPr="00021123">
        <w:t>CDPC</w:t>
      </w:r>
      <w:r w:rsidRPr="001344F2">
        <w:t>);</w:t>
      </w:r>
    </w:p>
    <w:p w:rsidR="001344F2" w:rsidRPr="001344F2" w:rsidRDefault="001344F2" w:rsidP="001344F2">
      <w:pPr>
        <w:pStyle w:val="a3"/>
        <w:jc w:val="both"/>
      </w:pPr>
      <w:r w:rsidRPr="001344F2">
        <w:t>2. визнаючи, що робота CDPC, як випливає з його повноважень (2022-2025 рр.), відіграє важливу роль у визначенні пріоритетних елементів міжурядового правового співробітництва, пропонуючи Комітету міністрів напрямки діяльності у сфері кримінального права і процесу, кримінології та пенології, розробляючи нормативно-правові акти, надаючи конкретні рекомендації, збираючи інформацію, проводячи заходи в цих сферах і консультуючи Комітет міністрів з усіх питань, що належать до сфери його компетенції. Таким чином, робота CDPC є ключовою для підтримки національних органів влади, зокрема правоохоронних органів та інших, з метою уникнення та попередження порушень прав людини в системі кримінального правосуддя;</w:t>
      </w:r>
    </w:p>
    <w:p w:rsidR="001344F2" w:rsidRPr="001344F2" w:rsidRDefault="001344F2" w:rsidP="001344F2">
      <w:pPr>
        <w:pStyle w:val="a3"/>
        <w:jc w:val="both"/>
        <w:rPr>
          <w:position w:val="6"/>
        </w:rPr>
      </w:pPr>
      <w:r w:rsidRPr="001344F2">
        <w:rPr>
          <w:position w:val="6"/>
        </w:rPr>
        <w:t>3. висловлюючи свою стурбованість у зв</w:t>
      </w:r>
      <w:r w:rsidR="00021123" w:rsidRPr="00021123">
        <w:rPr>
          <w:position w:val="6"/>
        </w:rPr>
        <w:t>'</w:t>
      </w:r>
      <w:r w:rsidRPr="001344F2">
        <w:rPr>
          <w:position w:val="6"/>
        </w:rPr>
        <w:t>язку з постійним зростанням кількості та інтенсивності порушень прав людини в системах кримінального правосуддя в державах-членах Ради Європи та відзначаючи, що у 2020 році Європейський суд з прав людини в</w:t>
      </w:r>
      <w:r w:rsidR="00021123">
        <w:rPr>
          <w:position w:val="6"/>
        </w:rPr>
        <w:t xml:space="preserve">становив </w:t>
      </w:r>
      <w:r w:rsidRPr="001344F2">
        <w:rPr>
          <w:position w:val="6"/>
        </w:rPr>
        <w:t>більше порушень статей 5 та 6, ніж будь-яких інших статей Конвенції</w:t>
      </w:r>
      <w:r w:rsidR="0010651D">
        <w:rPr>
          <w:rStyle w:val="a7"/>
          <w:position w:val="6"/>
        </w:rPr>
        <w:footnoteReference w:id="1"/>
      </w:r>
      <w:r w:rsidRPr="001344F2">
        <w:rPr>
          <w:position w:val="6"/>
        </w:rPr>
        <w:t xml:space="preserve">; </w:t>
      </w:r>
    </w:p>
    <w:p w:rsidR="001344F2" w:rsidRPr="001344F2" w:rsidRDefault="001344F2" w:rsidP="001344F2">
      <w:pPr>
        <w:pStyle w:val="a3"/>
        <w:jc w:val="both"/>
      </w:pPr>
      <w:r w:rsidRPr="001344F2">
        <w:t>4. наголошуючи, що права та принципи, закріплені у ст</w:t>
      </w:r>
      <w:r w:rsidR="00021123">
        <w:t>.</w:t>
      </w:r>
      <w:r w:rsidRPr="001344F2">
        <w:t xml:space="preserve"> 5 та  6 Європейської конвенції з прав людини, мають вирішальне значення для гарантії права на свободу та безпеку, підтримання неупередженості всіх кримінальних розслідувань та проваджень, а також захисту прав осіб, обвинувачених у скоєнні кримінальних правопорушень, під час досудового та судового провадження;</w:t>
      </w:r>
    </w:p>
    <w:p w:rsidR="001344F2" w:rsidRPr="001344F2" w:rsidRDefault="001344F2" w:rsidP="001344F2">
      <w:pPr>
        <w:pStyle w:val="a3"/>
        <w:jc w:val="both"/>
      </w:pPr>
      <w:r w:rsidRPr="001344F2">
        <w:lastRenderedPageBreak/>
        <w:t>5. підкреслюючи, що основною метою статті 5 є запобігання свавільному або необґрунтованому позбавленню свободи і що справедливість судового розгляду, закріплена в статті 6, ґрунтується на тому, що обвинувачений повинен бути судимий незалежним і неупередженим судом, розуміти обвинувачення, висунуте проти нього, мати достатньо часу і можливостей для підготовки свого захисту, допитувати або мати право допитувати свідків, які свідчать проти нього, і домагатися виклику та допиту свідків, які свідчать проти нього, на тих самих умовах, що й свідки, які свідчать проти нього, мати доступ до правової допомоги а</w:t>
      </w:r>
      <w:r w:rsidR="00021123">
        <w:t>двоката</w:t>
      </w:r>
      <w:r w:rsidRPr="001344F2">
        <w:t xml:space="preserve"> протягом усього судового розгляду і користуватися безоплатною допомогою перекладача, якщо він не розуміє мови, якою ведеться судочинство, або не розмовляє нею;</w:t>
      </w:r>
    </w:p>
    <w:p w:rsidR="001344F2" w:rsidRPr="001344F2" w:rsidRDefault="001344F2" w:rsidP="001344F2">
      <w:pPr>
        <w:pStyle w:val="a3"/>
        <w:jc w:val="both"/>
      </w:pPr>
      <w:r w:rsidRPr="001344F2">
        <w:t>6. враховуючи потреби осіб з обмеженими можливостями, наприклад, тих, хто не повністю розуміє місцеву мову, коли для захисту їхніх прав можуть знадобитися особливі та додаткові механізми захисту;</w:t>
      </w:r>
    </w:p>
    <w:p w:rsidR="001344F2" w:rsidRPr="001344F2" w:rsidRDefault="001344F2" w:rsidP="001344F2">
      <w:pPr>
        <w:pStyle w:val="a3"/>
        <w:jc w:val="both"/>
      </w:pPr>
      <w:r w:rsidRPr="001344F2">
        <w:t>7. підкреслюючи, що, попри міжнародне усвідомлення необхідності ефективної, дієвої та справедливої системи кримінального правосуддя, держави-члени повинні вжити всіх можливих заходів для зменшення ризику неналежних і незаконних спроб обійти, порушити або проігнорувати процесуальні гарантії з боку правоохоронних органів, прокуратури та судових органів;</w:t>
      </w:r>
    </w:p>
    <w:p w:rsidR="001344F2" w:rsidRPr="001344F2" w:rsidRDefault="001344F2" w:rsidP="001344F2">
      <w:pPr>
        <w:pStyle w:val="a3"/>
        <w:jc w:val="both"/>
      </w:pPr>
      <w:r w:rsidRPr="001344F2">
        <w:t xml:space="preserve">8. наполягаючи також на тому, що Стратегічні рамки Ради Європи до 2020 року, розроблені Генеральним секретарем, передбачають посилення уваги до незалежності, ефективності та стійкості судових систем держав-членів, особливо </w:t>
      </w:r>
      <w:r w:rsidR="00021123">
        <w:t>в контексті</w:t>
      </w:r>
      <w:r w:rsidRPr="001344F2">
        <w:t xml:space="preserve"> впливу пандемії Covid-19 на систему кримінального правосуддя;</w:t>
      </w:r>
    </w:p>
    <w:p w:rsidR="001344F2" w:rsidRPr="001344F2" w:rsidRDefault="001344F2" w:rsidP="001344F2">
      <w:pPr>
        <w:pStyle w:val="a3"/>
        <w:jc w:val="both"/>
      </w:pPr>
      <w:r w:rsidRPr="001344F2">
        <w:t>9. схвалюючи та підтримуючи Цілі сталого розвитку, прийняті Організацією Об</w:t>
      </w:r>
      <w:r w:rsidRPr="001344F2">
        <w:rPr>
          <w:lang w:val="ru-RU"/>
        </w:rPr>
        <w:t>’</w:t>
      </w:r>
      <w:r w:rsidRPr="001344F2">
        <w:t>єднаних Націй, які в рамках завдання 16.3 закликають «</w:t>
      </w:r>
      <w:r w:rsidR="00E248D8">
        <w:t>с</w:t>
      </w:r>
      <w:r w:rsidRPr="001344F2">
        <w:t>прияти верховенству права на національному та міжнародному рівнях і забезпечити рівний доступ до правосуддя для всіх», і, таким чином, заохочуючи всі держави-члени Ради Європи зробити вагомий внесок у їх реалізацію;</w:t>
      </w:r>
    </w:p>
    <w:p w:rsidR="001344F2" w:rsidRPr="001344F2" w:rsidRDefault="001344F2" w:rsidP="001344F2">
      <w:pPr>
        <w:pStyle w:val="a3"/>
        <w:jc w:val="both"/>
      </w:pPr>
      <w:r w:rsidRPr="001344F2">
        <w:t>10. враховуючи певні обмеження доступу до правосуддя жінок і дітей, представників меншин, людей похилого віку та осіб з інвалідністю, як зазначено в Стратегії гендерної рівності Ради Європи та згадано в Декларації Європейської комісії з питань ефективності правосуддя (CEPEJ) щодо висновків, зроблених органами судової влади під час та після пандемії Covid-19, а також необхідність врахування гендерних аспектів та усунення таких обмежень у всій роботі Ради Європи;</w:t>
      </w:r>
    </w:p>
    <w:p w:rsidR="001344F2" w:rsidRPr="001344F2" w:rsidRDefault="001344F2" w:rsidP="001344F2">
      <w:pPr>
        <w:pStyle w:val="a3"/>
        <w:jc w:val="both"/>
      </w:pPr>
      <w:r w:rsidRPr="001344F2">
        <w:t>11. будучи переконаними, що в основі всіх зусиль, спрямованих на притягнення злочинців до відповідальності, має лежати всебічний та системний підхід у точній відповідності до принципів та зобов'язань, викладених у Європейській конвенції з прав людини, як їх тлумачить Європейський суд з прав людини;</w:t>
      </w:r>
    </w:p>
    <w:p w:rsidR="001344F2" w:rsidRPr="001344F2" w:rsidRDefault="001344F2" w:rsidP="001344F2">
      <w:pPr>
        <w:pStyle w:val="a3"/>
        <w:jc w:val="both"/>
      </w:pPr>
      <w:r w:rsidRPr="001344F2">
        <w:t>12. наголошуючи на необхідності надання державами-членами підтримки та визнання відповідних компетентних органів, уповноважених здійснювати нагляд, розслідування та притягнення до відповідальності за будь-які дії в системі кримінального правосуддя, які можуть призвести до порушення Європейської конвенції з прав людини, зокрема с</w:t>
      </w:r>
      <w:r w:rsidR="00E248D8">
        <w:t>т.</w:t>
      </w:r>
      <w:r w:rsidRPr="001344F2">
        <w:t xml:space="preserve"> 5 та 6;</w:t>
      </w:r>
    </w:p>
    <w:p w:rsidR="001344F2" w:rsidRPr="001344F2" w:rsidRDefault="001344F2" w:rsidP="001344F2">
      <w:pPr>
        <w:pStyle w:val="a3"/>
        <w:jc w:val="both"/>
      </w:pPr>
      <w:r w:rsidRPr="001344F2">
        <w:lastRenderedPageBreak/>
        <w:t>13. таким чином</w:t>
      </w:r>
      <w:r w:rsidRPr="001344F2">
        <w:rPr>
          <w:lang w:val="ru-RU"/>
        </w:rPr>
        <w:t xml:space="preserve">, </w:t>
      </w:r>
      <w:r w:rsidRPr="001344F2">
        <w:t xml:space="preserve">виражаючи </w:t>
      </w:r>
      <w:r w:rsidR="00E248D8">
        <w:t>необхідність</w:t>
      </w:r>
      <w:r w:rsidRPr="001344F2">
        <w:t xml:space="preserve"> докласти зусиль, щоб гарантувати ефективне застосування ст</w:t>
      </w:r>
      <w:r w:rsidR="00E248D8">
        <w:t>.</w:t>
      </w:r>
      <w:r w:rsidRPr="001344F2">
        <w:t xml:space="preserve"> 5 і 6 Європейської конвенції з прав людини, як зазначено у Звіті Генерального секретаря Ради Європи за 2021 рік, і з цією метою закликає держави-члени до цього:</w:t>
      </w:r>
    </w:p>
    <w:p w:rsidR="001344F2" w:rsidRPr="001344F2" w:rsidRDefault="001344F2" w:rsidP="001344F2">
      <w:pPr>
        <w:pStyle w:val="a3"/>
        <w:ind w:left="360"/>
        <w:jc w:val="both"/>
      </w:pPr>
      <w:r w:rsidRPr="001344F2">
        <w:t>a) визнавати обов'язковість рішень Європейського суду з прав людини та усвідомлювати загальну цінність його практики, зокрема, щодо тлумачення та застосування національного законодавства в контексті статей 5 та 6 Конвенції;</w:t>
      </w:r>
    </w:p>
    <w:p w:rsidR="001344F2" w:rsidRPr="001344F2" w:rsidRDefault="001344F2" w:rsidP="001344F2">
      <w:pPr>
        <w:pStyle w:val="a3"/>
        <w:ind w:left="360"/>
        <w:jc w:val="both"/>
      </w:pPr>
      <w:r w:rsidRPr="001344F2">
        <w:t xml:space="preserve">b) </w:t>
      </w:r>
      <w:r w:rsidR="00E248D8">
        <w:t>у</w:t>
      </w:r>
      <w:r w:rsidRPr="001344F2">
        <w:t>досконалювати національну нормативно-правову базу та поточну практику у контексті відповідних стандартів Європейської конвенції з прав людини та</w:t>
      </w:r>
      <w:r w:rsidR="00E248D8">
        <w:t xml:space="preserve"> </w:t>
      </w:r>
      <w:r w:rsidR="00E248D8" w:rsidRPr="001344F2">
        <w:t xml:space="preserve">у разі </w:t>
      </w:r>
      <w:r w:rsidR="00E248D8">
        <w:t xml:space="preserve">потреби </w:t>
      </w:r>
      <w:r w:rsidRPr="001344F2">
        <w:t>вживати дієвих заходів для запобігання порушенням і боротьби з ними через підтримку розробки реальних стратегій, покращення механізмів забезпечення верховенства права та посилення співпраці між органами кримінального правосуддя;</w:t>
      </w:r>
    </w:p>
    <w:p w:rsidR="001344F2" w:rsidRPr="0010651D" w:rsidRDefault="001344F2" w:rsidP="001344F2">
      <w:pPr>
        <w:pStyle w:val="a3"/>
        <w:ind w:left="360"/>
        <w:jc w:val="both"/>
      </w:pPr>
      <w:r w:rsidRPr="001344F2">
        <w:t>c) враховувати чинну Декларацію Комітету міністрів Ради Європи, наприклад, Брюссельську декларацію «Імплементація Європейської конвенції з прав людини: наша спільна відповідальність», а також рішення, ухвалені Комітетом міністрів на його 131-й сесії в Гамбурзі в травні 2021 року на тему «Права людини в цифрову епоху»</w:t>
      </w:r>
      <w:r w:rsidR="0010651D">
        <w:t>;</w:t>
      </w:r>
    </w:p>
    <w:p w:rsidR="001344F2" w:rsidRPr="001344F2" w:rsidRDefault="001344F2" w:rsidP="001344F2">
      <w:pPr>
        <w:pStyle w:val="a3"/>
        <w:ind w:left="360"/>
        <w:jc w:val="both"/>
      </w:pPr>
      <w:r w:rsidRPr="001344F2">
        <w:t>d) впроваджувати Стратегію Ради Європи з прав дитини (2022-2027), зокрема її розділ про дружнє до дитини правосуддя для всіх дітей, при розробці та реалізації своєї національної політики у цій сфері;</w:t>
      </w:r>
    </w:p>
    <w:p w:rsidR="001344F2" w:rsidRPr="001344F2" w:rsidRDefault="001344F2" w:rsidP="001344F2">
      <w:pPr>
        <w:pStyle w:val="a3"/>
        <w:ind w:left="360"/>
        <w:jc w:val="both"/>
      </w:pPr>
      <w:r w:rsidRPr="001344F2">
        <w:t xml:space="preserve">e) підтримувати різні органи та інституції Ради Європи, які в рамках своїх відповідних повноважень можуть сприяти захисту та впровадженню статей 5 і 6 Європейської конвенції з прав людини, а також інші органи, що діють у цій сфері, зокрема, Комітет міністрів, Парламентську асамблею, Генерального секретаря, Комісара з прав людини, </w:t>
      </w:r>
      <w:r w:rsidRPr="001344F2">
        <w:rPr>
          <w:rStyle w:val="a4"/>
          <w:i w:val="0"/>
          <w:iCs w:val="0"/>
          <w:color w:val="000000" w:themeColor="text1"/>
        </w:rPr>
        <w:t>Європейський комітет з питань запобігання катуванням</w:t>
      </w:r>
      <w:r w:rsidRPr="001344F2">
        <w:rPr>
          <w:rStyle w:val="apple-converted-space"/>
          <w:color w:val="000000" w:themeColor="text1"/>
          <w:shd w:val="clear" w:color="auto" w:fill="FFFFFF"/>
        </w:rPr>
        <w:t> </w:t>
      </w:r>
      <w:r w:rsidRPr="001344F2">
        <w:rPr>
          <w:color w:val="000000" w:themeColor="text1"/>
          <w:shd w:val="clear" w:color="auto" w:fill="FFFFFF"/>
        </w:rPr>
        <w:t>чи не людському або</w:t>
      </w:r>
      <w:r w:rsidRPr="001344F2">
        <w:rPr>
          <w:rStyle w:val="apple-converted-space"/>
          <w:color w:val="000000" w:themeColor="text1"/>
          <w:shd w:val="clear" w:color="auto" w:fill="FFFFFF"/>
        </w:rPr>
        <w:t> </w:t>
      </w:r>
      <w:r w:rsidRPr="001344F2">
        <w:rPr>
          <w:rStyle w:val="a4"/>
          <w:i w:val="0"/>
          <w:iCs w:val="0"/>
          <w:color w:val="000000" w:themeColor="text1"/>
        </w:rPr>
        <w:t>такому, що принижує гідність</w:t>
      </w:r>
      <w:r w:rsidRPr="001344F2">
        <w:rPr>
          <w:color w:val="000000" w:themeColor="text1"/>
          <w:shd w:val="clear" w:color="auto" w:fill="FFFFFF"/>
        </w:rPr>
        <w:t>,</w:t>
      </w:r>
      <w:r w:rsidRPr="001344F2">
        <w:rPr>
          <w:rStyle w:val="apple-converted-space"/>
          <w:color w:val="000000" w:themeColor="text1"/>
          <w:shd w:val="clear" w:color="auto" w:fill="FFFFFF"/>
        </w:rPr>
        <w:t> </w:t>
      </w:r>
      <w:r w:rsidRPr="001344F2">
        <w:rPr>
          <w:rStyle w:val="a4"/>
          <w:i w:val="0"/>
          <w:iCs w:val="0"/>
          <w:color w:val="000000" w:themeColor="text1"/>
        </w:rPr>
        <w:t>поводженню чи покаранню</w:t>
      </w:r>
      <w:r w:rsidRPr="001344F2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Pr="001344F2">
        <w:t xml:space="preserve">(CPT) та </w:t>
      </w:r>
      <w:r w:rsidRPr="001344F2">
        <w:rPr>
          <w:color w:val="000000" w:themeColor="text1"/>
          <w:shd w:val="clear" w:color="auto" w:fill="FFFFFF"/>
        </w:rPr>
        <w:t>Європейський комітет з кримінально-правових проблем</w:t>
      </w:r>
      <w:r w:rsidR="001E0EE4">
        <w:rPr>
          <w:color w:val="000000" w:themeColor="text1"/>
          <w:shd w:val="clear" w:color="auto" w:fill="FFFFFF"/>
        </w:rPr>
        <w:t xml:space="preserve"> </w:t>
      </w:r>
      <w:r w:rsidRPr="001344F2">
        <w:t>(CDPC);</w:t>
      </w:r>
    </w:p>
    <w:p w:rsidR="001344F2" w:rsidRPr="001344F2" w:rsidRDefault="001344F2" w:rsidP="001344F2">
      <w:pPr>
        <w:pStyle w:val="a3"/>
        <w:ind w:left="360"/>
        <w:jc w:val="both"/>
      </w:pPr>
      <w:r w:rsidRPr="001344F2">
        <w:t xml:space="preserve">f) захищати і сприяти застосуванню Європейської конвенції з прав людини, зокрема </w:t>
      </w:r>
      <w:r w:rsidR="00E248D8">
        <w:br/>
      </w:r>
      <w:r w:rsidRPr="001344F2">
        <w:t>ст</w:t>
      </w:r>
      <w:r w:rsidR="00E248D8">
        <w:t>.</w:t>
      </w:r>
      <w:r w:rsidRPr="001344F2">
        <w:t xml:space="preserve"> 5 і 6, шляхом дотримання прецедентного права Європейського суду з прав людини при здійсненні заходів в рамках Європейських конвенцій про міжнародне співробітництво </w:t>
      </w:r>
      <w:bookmarkStart w:id="0" w:name="_GoBack"/>
      <w:bookmarkEnd w:id="0"/>
      <w:r w:rsidRPr="001344F2">
        <w:t xml:space="preserve">у кримінальних справах, включаючи Європейську конвенцію про видачу правопорушників </w:t>
      </w:r>
      <w:r w:rsidR="001E0EE4">
        <w:br/>
      </w:r>
      <w:r w:rsidRPr="001344F2">
        <w:t xml:space="preserve">(ETS № 24), Європейську конвенцію про взаємну допомогу у кримінальних справах </w:t>
      </w:r>
      <w:r w:rsidR="001E0EE4">
        <w:br/>
      </w:r>
      <w:r w:rsidRPr="001344F2">
        <w:t>(ETS № 30), а також інших конвенцій і стандартів Ради Європи у сфері кримінального правосуддя та міжнародного співробітництва;</w:t>
      </w:r>
    </w:p>
    <w:p w:rsidR="001344F2" w:rsidRPr="001344F2" w:rsidRDefault="001344F2" w:rsidP="001344F2">
      <w:pPr>
        <w:pStyle w:val="a3"/>
        <w:ind w:left="360"/>
        <w:jc w:val="both"/>
      </w:pPr>
      <w:r w:rsidRPr="001344F2">
        <w:t>g) співпрацювати з іншими державами-членами</w:t>
      </w:r>
      <w:r w:rsidR="00E248D8">
        <w:t>,</w:t>
      </w:r>
      <w:r w:rsidRPr="001344F2">
        <w:t xml:space="preserve"> відповідними органами та інституціями Ради Європи у забезпеченні </w:t>
      </w:r>
      <w:r w:rsidR="00E248D8">
        <w:t>узгодже</w:t>
      </w:r>
      <w:r w:rsidRPr="001344F2">
        <w:t>ності національного законодавства та практики відповідним стандартам Європейської конвенції з прав людини, діючи в дусі діалогу та співробітництва.</w:t>
      </w:r>
    </w:p>
    <w:p w:rsidR="001344F2" w:rsidRPr="001344F2" w:rsidRDefault="001344F2" w:rsidP="001344F2">
      <w:pPr>
        <w:pStyle w:val="a3"/>
        <w:rPr>
          <w:b/>
          <w:bCs/>
          <w:szCs w:val="18"/>
        </w:rPr>
      </w:pPr>
    </w:p>
    <w:sectPr w:rsidR="001344F2" w:rsidRPr="001344F2" w:rsidSect="00A05613">
      <w:pgSz w:w="12240" w:h="15840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05" w:rsidRDefault="00815D05" w:rsidP="0010651D">
      <w:pPr>
        <w:spacing w:line="240" w:lineRule="auto"/>
      </w:pPr>
      <w:r>
        <w:separator/>
      </w:r>
    </w:p>
  </w:endnote>
  <w:endnote w:type="continuationSeparator" w:id="0">
    <w:p w:rsidR="00815D05" w:rsidRDefault="00815D05" w:rsidP="00106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05" w:rsidRDefault="00815D05" w:rsidP="0010651D">
      <w:pPr>
        <w:spacing w:line="240" w:lineRule="auto"/>
      </w:pPr>
      <w:r>
        <w:separator/>
      </w:r>
    </w:p>
  </w:footnote>
  <w:footnote w:type="continuationSeparator" w:id="0">
    <w:p w:rsidR="00815D05" w:rsidRDefault="00815D05" w:rsidP="0010651D">
      <w:pPr>
        <w:spacing w:line="240" w:lineRule="auto"/>
      </w:pPr>
      <w:r>
        <w:continuationSeparator/>
      </w:r>
    </w:p>
  </w:footnote>
  <w:footnote w:id="1">
    <w:p w:rsidR="0010651D" w:rsidRDefault="0010651D">
      <w:pPr>
        <w:pStyle w:val="a5"/>
      </w:pPr>
      <w:r w:rsidRPr="001C1AB2">
        <w:rPr>
          <w:rStyle w:val="a7"/>
          <w:sz w:val="24"/>
          <w:szCs w:val="24"/>
        </w:rPr>
        <w:footnoteRef/>
      </w:r>
      <w:r w:rsidR="00DF54F5">
        <w:rPr>
          <w:sz w:val="24"/>
          <w:szCs w:val="24"/>
        </w:rPr>
        <w:t xml:space="preserve"> </w:t>
      </w:r>
      <w:r w:rsidRPr="001C1AB2">
        <w:rPr>
          <w:sz w:val="24"/>
          <w:szCs w:val="24"/>
        </w:rPr>
        <w:t xml:space="preserve">Щорічна доповідь Європейського суду з прав людини (2020), с. 159, 163, </w:t>
      </w:r>
      <w:r w:rsidR="009234FB" w:rsidRPr="001C1AB2">
        <w:rPr>
          <w:sz w:val="24"/>
          <w:szCs w:val="24"/>
        </w:rPr>
        <w:t>у</w:t>
      </w:r>
      <w:r w:rsidRPr="001C1AB2">
        <w:rPr>
          <w:sz w:val="24"/>
          <w:szCs w:val="24"/>
        </w:rPr>
        <w:t xml:space="preserve"> якій зазначається, що з 871 рішення, </w:t>
      </w:r>
      <w:r w:rsidR="009234FB" w:rsidRPr="001C1AB2">
        <w:rPr>
          <w:sz w:val="24"/>
          <w:szCs w:val="24"/>
        </w:rPr>
        <w:t xml:space="preserve">у </w:t>
      </w:r>
      <w:r w:rsidRPr="001C1AB2">
        <w:rPr>
          <w:sz w:val="24"/>
          <w:szCs w:val="24"/>
        </w:rPr>
        <w:t>яких було встановлено порушення, 287 рішень в</w:t>
      </w:r>
      <w:r w:rsidR="009234FB" w:rsidRPr="001C1AB2">
        <w:rPr>
          <w:sz w:val="24"/>
          <w:szCs w:val="24"/>
        </w:rPr>
        <w:t>становил</w:t>
      </w:r>
      <w:r w:rsidRPr="001C1AB2">
        <w:rPr>
          <w:sz w:val="24"/>
          <w:szCs w:val="24"/>
        </w:rPr>
        <w:t>и порушення статті 6, тоді як 208 рішень в</w:t>
      </w:r>
      <w:r w:rsidR="009234FB" w:rsidRPr="001C1AB2">
        <w:rPr>
          <w:sz w:val="24"/>
          <w:szCs w:val="24"/>
        </w:rPr>
        <w:t>становили</w:t>
      </w:r>
      <w:r w:rsidRPr="001C1AB2">
        <w:rPr>
          <w:sz w:val="24"/>
          <w:szCs w:val="24"/>
        </w:rPr>
        <w:t xml:space="preserve"> порушення статті 5. Доступно за посиланням </w:t>
      </w:r>
      <w:hyperlink r:id="rId1" w:history="1">
        <w:r w:rsidRPr="001C1AB2">
          <w:rPr>
            <w:rStyle w:val="a8"/>
            <w:sz w:val="24"/>
            <w:szCs w:val="24"/>
          </w:rPr>
          <w:t>https://www.echr.coe.int/Documents/Annual_report_2020_ENG.pdf.</w:t>
        </w:r>
      </w:hyperlink>
      <w:r w:rsidRPr="001C1AB2">
        <w:rPr>
          <w:sz w:val="24"/>
          <w:szCs w:val="24"/>
        </w:rPr>
        <w:t xml:space="preserve"> У 2021 році із загальної кількості 1105 рішень на статтю 6 знову припадає найбільша кількість порушень (344), а на статтю 5 </w:t>
      </w:r>
      <w:r w:rsidR="009234FB" w:rsidRPr="001C1AB2">
        <w:rPr>
          <w:sz w:val="24"/>
          <w:szCs w:val="24"/>
        </w:rPr>
        <w:t>–</w:t>
      </w:r>
      <w:r w:rsidRPr="001C1AB2">
        <w:rPr>
          <w:sz w:val="24"/>
          <w:szCs w:val="24"/>
        </w:rPr>
        <w:t xml:space="preserve"> тр</w:t>
      </w:r>
      <w:r w:rsidR="009234FB" w:rsidRPr="001C1AB2">
        <w:rPr>
          <w:sz w:val="24"/>
          <w:szCs w:val="24"/>
        </w:rPr>
        <w:t>етьою за к</w:t>
      </w:r>
      <w:r w:rsidR="00E312D0">
        <w:rPr>
          <w:sz w:val="24"/>
          <w:szCs w:val="24"/>
        </w:rPr>
        <w:t>і</w:t>
      </w:r>
      <w:r w:rsidR="009234FB" w:rsidRPr="001C1AB2">
        <w:rPr>
          <w:sz w:val="24"/>
          <w:szCs w:val="24"/>
        </w:rPr>
        <w:t xml:space="preserve">лькістю </w:t>
      </w:r>
      <w:r w:rsidRPr="001C1AB2">
        <w:rPr>
          <w:sz w:val="24"/>
          <w:szCs w:val="24"/>
        </w:rPr>
        <w:t>(306) (Щорічна доповідь Європейського суду з прав людини (2021), с. 181, 183).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F2"/>
    <w:rsid w:val="00021123"/>
    <w:rsid w:val="0010651D"/>
    <w:rsid w:val="001176D9"/>
    <w:rsid w:val="001344F2"/>
    <w:rsid w:val="001C1AB2"/>
    <w:rsid w:val="001E0EE4"/>
    <w:rsid w:val="00230DF1"/>
    <w:rsid w:val="00312860"/>
    <w:rsid w:val="00454E8B"/>
    <w:rsid w:val="00515D13"/>
    <w:rsid w:val="00743F71"/>
    <w:rsid w:val="00815D05"/>
    <w:rsid w:val="008824A7"/>
    <w:rsid w:val="009234FB"/>
    <w:rsid w:val="0097074E"/>
    <w:rsid w:val="00981201"/>
    <w:rsid w:val="009D2E78"/>
    <w:rsid w:val="00A05613"/>
    <w:rsid w:val="00A12942"/>
    <w:rsid w:val="00D318B7"/>
    <w:rsid w:val="00D73451"/>
    <w:rsid w:val="00DF54F5"/>
    <w:rsid w:val="00E248D8"/>
    <w:rsid w:val="00E312D0"/>
    <w:rsid w:val="00EB3C35"/>
    <w:rsid w:val="00EE133E"/>
    <w:rsid w:val="00F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like"/>
    <w:qFormat/>
    <w:rsid w:val="00F84DF6"/>
    <w:pPr>
      <w:spacing w:line="360" w:lineRule="auto"/>
      <w:ind w:firstLine="709"/>
      <w:jc w:val="both"/>
    </w:pPr>
    <w:rPr>
      <w:rFonts w:ascii="Times New Roman" w:hAnsi="Times New Roman" w:cs="Arial"/>
      <w:kern w:val="0"/>
      <w:sz w:val="28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D73451"/>
    <w:pPr>
      <w:keepNext/>
      <w:keepLines/>
      <w:spacing w:before="240" w:line="240" w:lineRule="auto"/>
      <w:ind w:firstLine="0"/>
      <w:jc w:val="left"/>
      <w:outlineLvl w:val="0"/>
    </w:pPr>
    <w:rPr>
      <w:rFonts w:eastAsiaTheme="majorEastAsia" w:cstheme="majorBidi"/>
      <w:color w:val="000000" w:themeColor="text1"/>
      <w:kern w:val="2"/>
      <w:szCs w:val="32"/>
      <w:lang w:val="ru-RU"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451"/>
    <w:rPr>
      <w:rFonts w:ascii="Times New Roman" w:eastAsiaTheme="majorEastAsia" w:hAnsi="Times New Roman" w:cstheme="majorBidi"/>
      <w:color w:val="000000" w:themeColor="text1"/>
      <w:sz w:val="28"/>
      <w:szCs w:val="32"/>
      <w:lang w:val="ru-RU" w:eastAsia="ru-RU"/>
    </w:rPr>
  </w:style>
  <w:style w:type="paragraph" w:styleId="a3">
    <w:name w:val="Normal (Web)"/>
    <w:basedOn w:val="a"/>
    <w:uiPriority w:val="99"/>
    <w:unhideWhenUsed/>
    <w:rsid w:val="001344F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en-US"/>
    </w:rPr>
  </w:style>
  <w:style w:type="character" w:styleId="a4">
    <w:name w:val="Emphasis"/>
    <w:basedOn w:val="a0"/>
    <w:uiPriority w:val="20"/>
    <w:qFormat/>
    <w:rsid w:val="001344F2"/>
    <w:rPr>
      <w:i/>
      <w:iCs/>
    </w:rPr>
  </w:style>
  <w:style w:type="character" w:customStyle="1" w:styleId="apple-converted-space">
    <w:name w:val="apple-converted-space"/>
    <w:basedOn w:val="a0"/>
    <w:rsid w:val="001344F2"/>
  </w:style>
  <w:style w:type="paragraph" w:styleId="a5">
    <w:name w:val="footnote text"/>
    <w:basedOn w:val="a"/>
    <w:link w:val="a6"/>
    <w:uiPriority w:val="99"/>
    <w:semiHidden/>
    <w:unhideWhenUsed/>
    <w:rsid w:val="0010651D"/>
    <w:pPr>
      <w:spacing w:line="240" w:lineRule="auto"/>
    </w:pPr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0651D"/>
    <w:rPr>
      <w:rFonts w:ascii="Times New Roman" w:hAnsi="Times New Roman" w:cs="Arial"/>
      <w:kern w:val="0"/>
      <w:sz w:val="20"/>
      <w:szCs w:val="20"/>
      <w:lang w:val="uk-UA" w:eastAsia="uk-UA"/>
      <w14:ligatures w14:val="none"/>
    </w:rPr>
  </w:style>
  <w:style w:type="character" w:styleId="a7">
    <w:name w:val="footnote reference"/>
    <w:basedOn w:val="a0"/>
    <w:uiPriority w:val="99"/>
    <w:semiHidden/>
    <w:unhideWhenUsed/>
    <w:rsid w:val="0010651D"/>
    <w:rPr>
      <w:vertAlign w:val="superscript"/>
    </w:rPr>
  </w:style>
  <w:style w:type="character" w:styleId="a8">
    <w:name w:val="Hyperlink"/>
    <w:basedOn w:val="a0"/>
    <w:uiPriority w:val="99"/>
    <w:unhideWhenUsed/>
    <w:rsid w:val="009234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34F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234F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like"/>
    <w:qFormat/>
    <w:rsid w:val="00F84DF6"/>
    <w:pPr>
      <w:spacing w:line="360" w:lineRule="auto"/>
      <w:ind w:firstLine="709"/>
      <w:jc w:val="both"/>
    </w:pPr>
    <w:rPr>
      <w:rFonts w:ascii="Times New Roman" w:hAnsi="Times New Roman" w:cs="Arial"/>
      <w:kern w:val="0"/>
      <w:sz w:val="28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D73451"/>
    <w:pPr>
      <w:keepNext/>
      <w:keepLines/>
      <w:spacing w:before="240" w:line="240" w:lineRule="auto"/>
      <w:ind w:firstLine="0"/>
      <w:jc w:val="left"/>
      <w:outlineLvl w:val="0"/>
    </w:pPr>
    <w:rPr>
      <w:rFonts w:eastAsiaTheme="majorEastAsia" w:cstheme="majorBidi"/>
      <w:color w:val="000000" w:themeColor="text1"/>
      <w:kern w:val="2"/>
      <w:szCs w:val="32"/>
      <w:lang w:val="ru-RU"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451"/>
    <w:rPr>
      <w:rFonts w:ascii="Times New Roman" w:eastAsiaTheme="majorEastAsia" w:hAnsi="Times New Roman" w:cstheme="majorBidi"/>
      <w:color w:val="000000" w:themeColor="text1"/>
      <w:sz w:val="28"/>
      <w:szCs w:val="32"/>
      <w:lang w:val="ru-RU" w:eastAsia="ru-RU"/>
    </w:rPr>
  </w:style>
  <w:style w:type="paragraph" w:styleId="a3">
    <w:name w:val="Normal (Web)"/>
    <w:basedOn w:val="a"/>
    <w:uiPriority w:val="99"/>
    <w:unhideWhenUsed/>
    <w:rsid w:val="001344F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en-US"/>
    </w:rPr>
  </w:style>
  <w:style w:type="character" w:styleId="a4">
    <w:name w:val="Emphasis"/>
    <w:basedOn w:val="a0"/>
    <w:uiPriority w:val="20"/>
    <w:qFormat/>
    <w:rsid w:val="001344F2"/>
    <w:rPr>
      <w:i/>
      <w:iCs/>
    </w:rPr>
  </w:style>
  <w:style w:type="character" w:customStyle="1" w:styleId="apple-converted-space">
    <w:name w:val="apple-converted-space"/>
    <w:basedOn w:val="a0"/>
    <w:rsid w:val="001344F2"/>
  </w:style>
  <w:style w:type="paragraph" w:styleId="a5">
    <w:name w:val="footnote text"/>
    <w:basedOn w:val="a"/>
    <w:link w:val="a6"/>
    <w:uiPriority w:val="99"/>
    <w:semiHidden/>
    <w:unhideWhenUsed/>
    <w:rsid w:val="0010651D"/>
    <w:pPr>
      <w:spacing w:line="240" w:lineRule="auto"/>
    </w:pPr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0651D"/>
    <w:rPr>
      <w:rFonts w:ascii="Times New Roman" w:hAnsi="Times New Roman" w:cs="Arial"/>
      <w:kern w:val="0"/>
      <w:sz w:val="20"/>
      <w:szCs w:val="20"/>
      <w:lang w:val="uk-UA" w:eastAsia="uk-UA"/>
      <w14:ligatures w14:val="none"/>
    </w:rPr>
  </w:style>
  <w:style w:type="character" w:styleId="a7">
    <w:name w:val="footnote reference"/>
    <w:basedOn w:val="a0"/>
    <w:uiPriority w:val="99"/>
    <w:semiHidden/>
    <w:unhideWhenUsed/>
    <w:rsid w:val="0010651D"/>
    <w:rPr>
      <w:vertAlign w:val="superscript"/>
    </w:rPr>
  </w:style>
  <w:style w:type="character" w:styleId="a8">
    <w:name w:val="Hyperlink"/>
    <w:basedOn w:val="a0"/>
    <w:uiPriority w:val="99"/>
    <w:unhideWhenUsed/>
    <w:rsid w:val="009234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34F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23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hr.coe.int/documents/d/echr/Annual_report_2020_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F41806-4F33-4CC1-9C02-0FBD7056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5166</Words>
  <Characters>2945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Баркевич</dc:creator>
  <cp:keywords/>
  <dc:description/>
  <cp:lastModifiedBy>Купач Дарина Андріївна</cp:lastModifiedBy>
  <cp:revision>6</cp:revision>
  <dcterms:created xsi:type="dcterms:W3CDTF">2024-01-31T12:47:00Z</dcterms:created>
  <dcterms:modified xsi:type="dcterms:W3CDTF">2024-02-21T13:07:00Z</dcterms:modified>
</cp:coreProperties>
</file>